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CA85D">
      <w:pPr>
        <w:rPr>
          <w:rFonts w:hint="default" w:ascii="黑体" w:hAnsi="黑体" w:eastAsia="黑体" w:cs="黑体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F624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南安市实施20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年福建省</w:t>
      </w:r>
    </w:p>
    <w:p w14:paraId="5B02C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商品有机肥示范推广项目方案</w:t>
      </w:r>
    </w:p>
    <w:bookmarkEnd w:id="0"/>
    <w:p w14:paraId="75CCA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48F0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《福建省财政厅 福建省农业农村厅关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于提前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下达202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年特色现代农业发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专项资金的通知》（闽财农指〔202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文件精神，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安排我市财政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万元，用于南安市开展推广应用商品有机肥。现依据文件要求，结合我市农业生产实际和控制面源污染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水环境整治需要，制定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南安市实施202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年福建省商品有机肥示范推广项目方案。</w:t>
      </w:r>
    </w:p>
    <w:p w14:paraId="34FB36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基本思路</w:t>
      </w:r>
    </w:p>
    <w:p w14:paraId="2F609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按照转变农业发展方式的基本思路，在粮油、蔬菜、果茶等作物生产区域，尤其是市级流域河长保护管理的晋江东溪、西溪、九十九溪、英溪、兰溪、诗溪、罗溪、梅溪、淘溪、大盈溪、檀溪、寿溪等流域的耕地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或园地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，通过推广应用以畜禽粪便为主要原料，经发酵腐熟后加工制成的商品有机肥，通过技术物质补助方式，引导种植大户、家庭农场、农民合作社等新型经营主体和农民科学合理施用，以有机肥替代部分化肥，实现有机无机相结合，以提高耕地质量，改善土壤理化性状，提高农产品质量，同时促进省内畜禽粪便等有机肥资源转化利用，改善农业生态环境。</w:t>
      </w:r>
    </w:p>
    <w:p w14:paraId="37FBA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二、目标任务</w:t>
      </w:r>
    </w:p>
    <w:p w14:paraId="5608B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在全市实施商品有机肥示范推广面积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1.0721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万亩，辐射带动面积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万亩，合计推广应用面积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8.5721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设立百亩示范片5片。通过项目实施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,项目区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化肥施用量减少10%以上。</w:t>
      </w:r>
    </w:p>
    <w:p w14:paraId="79544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三、补贴对象与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施用要求</w:t>
      </w:r>
    </w:p>
    <w:p w14:paraId="17434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补贴对象：示范农户、种植大户、家庭农场、农民合作社和农业种植企业等农业经营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体。</w:t>
      </w:r>
    </w:p>
    <w:p w14:paraId="10B88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施用要求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：购买并施用商品有机肥每亩达到250公斤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9B83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四、补贴物资质量与购买方式</w:t>
      </w:r>
    </w:p>
    <w:p w14:paraId="32876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享受补贴的商品有机肥必须符合《有机肥料》NY525农业行业标准，并取得福建省肥料登记证（福建省内肥料生产厂家）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且登记证在有效期内的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" w:eastAsia="zh-CN" w:bidi="ar"/>
          <w14:textFill>
            <w14:solidFill>
              <w14:schemeClr w14:val="tx1"/>
            </w14:solidFill>
          </w14:textFill>
        </w:rPr>
        <w:t>商品有机肥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0072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补贴对象自主选择购买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有机肥生产厂家的产品，肥料价格由补贴对象自行与供应商商谈确定（包括肥料商品价格、运输、搬运、装卸等费用），购肥费用由补贴对象承担，要求供应商开具购肥税票。</w:t>
      </w:r>
    </w:p>
    <w:p w14:paraId="49228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五、项目管理与补贴资金拨付</w:t>
      </w:r>
    </w:p>
    <w:p w14:paraId="67549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乡镇（街道）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乡村振兴服务中心（社区发展服务中心）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负责组织辖区内补助对象的申报工作。</w:t>
      </w:r>
    </w:p>
    <w:p w14:paraId="59ECE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符合条件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的项目实施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根据下达的商品有机肥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面积和购买数量要求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，完成采购后，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在施肥前向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乡镇（街道）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乡村振兴服务中心（社区发展服务中心）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提出现场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商品有机肥购买数量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5C39F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乡镇（街道）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乡村振兴服务中心（社区发展服务中心）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组织农技人员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" w:eastAsia="zh-CN" w:bidi="ar"/>
          <w14:textFill>
            <w14:solidFill>
              <w14:schemeClr w14:val="tx1"/>
            </w14:solidFill>
          </w14:textFill>
        </w:rPr>
        <w:t>前往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核验，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商品有机肥购买数量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对现场存放的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商品有机肥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拍摄视频和拍照，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第一时间发给市种植业服务中心（生态土肥）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CDB0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.乡镇（街道）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乡村振兴服务中心（社区发展服务中心）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" w:eastAsia="zh-CN" w:bidi="ar"/>
          <w14:textFill>
            <w14:solidFill>
              <w14:schemeClr w14:val="tx1"/>
            </w14:solidFill>
          </w14:textFill>
        </w:rPr>
        <w:t>现场核验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确认符合要求后，汇总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补助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对象相关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证明材料上报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种植业服务中心（生态土肥）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。证明材料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年福建省商品有机肥示范推广项目补助对象申报表》、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实施主体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法人代表身份证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、银行开户许可证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耕地流转（承包）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料登记证等复印件，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购肥发票、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银行转账凭证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对公转账）、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商品有机肥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存放及施用过程照片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肥料袋正反面图片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等有关材料。</w:t>
      </w:r>
    </w:p>
    <w:p w14:paraId="38614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市农业农村局将由乡镇上报的项目补贴对象、补贴资金等相关内容在南安市政府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上公示，经审核无异议后，直接将补助资金拨付到补助对象账户。</w:t>
      </w:r>
    </w:p>
    <w:p w14:paraId="7DE92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六、组织实施与监督管理</w:t>
      </w:r>
    </w:p>
    <w:p w14:paraId="03F0C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成立项目实施技术指导组。市农业农村局成立项目实施技术指导组（见附件），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强化指导服务，加强项目监督检查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各乡镇（街道）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乡村振兴服务中心（社区发展服务中心）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组织申报项目补贴资金，对补助对象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购买的商品有机肥数量和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提供资料的真实性进行严格审查，并及时将汇总材料上报市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种植业服务中心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FBD6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规范资金管理。市农业农村局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福建省财政厅 福建省农业农村厅关于印发《福建省特色现代农业发展专项资金管理办法》等3个专项资金管理办法的通知》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（闽财规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5号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）有关规定，专款专用、专项核算，加快项目资金的执行进度，及时拨付项目资金。</w:t>
      </w:r>
    </w:p>
    <w:p w14:paraId="4F81C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做好项目总结。市农业农村局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及时做好项目总结，于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日前上报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厅。</w:t>
      </w:r>
    </w:p>
    <w:p w14:paraId="68F65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8965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left="1598" w:leftChars="304" w:hanging="960" w:hangingChars="3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附件：南安市实施20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年福建省商品有机肥示范推广项目技术指导组成员名单</w:t>
      </w:r>
    </w:p>
    <w:p w14:paraId="44E14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3E125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南安市实施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年福建省商品</w:t>
      </w:r>
    </w:p>
    <w:p w14:paraId="66785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有机肥示范推广项目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技术指导组成员名单</w:t>
      </w:r>
    </w:p>
    <w:p w14:paraId="01580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6AE9B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长：潘住财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南安市农业农村局高级农艺师</w:t>
      </w:r>
    </w:p>
    <w:p w14:paraId="1A4DF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副组长：陈俊清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南安市农业农村局农艺师</w:t>
      </w:r>
    </w:p>
    <w:p w14:paraId="37318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员：洪少婷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南安市农业农村局农艺师</w:t>
      </w:r>
    </w:p>
    <w:p w14:paraId="0D217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雷明娇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南安市农业农村局高级农艺师</w:t>
      </w:r>
    </w:p>
    <w:p w14:paraId="48187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林丽蓉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南安市农业农村局农艺师</w:t>
      </w:r>
    </w:p>
    <w:p w14:paraId="51AA2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F236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6AE7CB8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5364FD8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03E9E6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5BBF9"/>
    <w:multiLevelType w:val="singleLevel"/>
    <w:tmpl w:val="8595BB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206B1C"/>
    <w:multiLevelType w:val="singleLevel"/>
    <w:tmpl w:val="56206B1C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42935"/>
    <w:rsid w:val="10C4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2025-02-21T07:59:00Z</dcterms:created>
  <dc:creator>Administrator</dc:creator>
  <cp:lastModifiedBy>Administrator</cp:lastModifiedBy>
  <dcterms:modified xsi:type="dcterms:W3CDTF">2025-02-21T07:59:33Z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C373ACF8E4724A74BBC393457352046D_11</vt:lpwstr>
  </property>
  <property fmtid="{D5CDD505-2E9C-101B-9397-08002B2CF9AE}" pid="4" name="KSOTemplateDocerSaveRecord">
    <vt:lpwstr>eyJoZGlkIjoiZmYwZTFjMTZkZDkwNmQzNzY3NzMzNDE2OWJhN2FhN2IifQ==</vt:lpwstr>
  </property>
</Properties>
</file>