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jc w:val="both"/>
        <w:rPr>
          <w:rFonts w:ascii="仿宋_GB2312" w:eastAsia="仿宋_GB2312"/>
          <w:sz w:val="32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ascii="仿宋_GB2312" w:eastAsia="仿宋_GB2312"/>
          <w:sz w:val="32"/>
          <w:szCs w:val="30"/>
        </w:rPr>
      </w:pPr>
    </w:p>
    <w:p>
      <w:pPr>
        <w:jc w:val="center"/>
        <w:rPr>
          <w:rFonts w:ascii="仿宋_GB2312" w:eastAsia="仿宋_GB2312"/>
          <w:sz w:val="32"/>
          <w:szCs w:val="30"/>
        </w:rPr>
      </w:pPr>
    </w:p>
    <w:p>
      <w:pPr>
        <w:spacing w:line="560" w:lineRule="exact"/>
        <w:jc w:val="center"/>
        <w:rPr>
          <w:rFonts w:ascii="仿宋_GB2312" w:eastAsia="仿宋_GB2312"/>
          <w:sz w:val="32"/>
        </w:rPr>
      </w:pPr>
      <w:r>
        <w:rPr>
          <w:rFonts w:hint="eastAsia" w:ascii="仿宋_GB2312" w:eastAsia="仿宋_GB2312"/>
          <w:sz w:val="32"/>
          <w:szCs w:val="30"/>
        </w:rPr>
        <w:t>南林</w:t>
      </w:r>
      <w:r>
        <w:rPr>
          <w:rFonts w:hint="eastAsia" w:ascii="仿宋_GB2312" w:eastAsia="仿宋_GB2312"/>
          <w:sz w:val="32"/>
          <w:szCs w:val="32"/>
        </w:rPr>
        <w:t>〔20</w:t>
      </w:r>
      <w:r>
        <w:rPr>
          <w:rFonts w:hint="eastAsia" w:ascii="仿宋_GB2312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sz w:val="32"/>
          <w:szCs w:val="32"/>
        </w:rPr>
        <w:t>〕</w:t>
      </w:r>
      <w:r>
        <w:rPr>
          <w:rFonts w:hint="eastAsia" w:ascii="仿宋_GB2312"/>
          <w:sz w:val="32"/>
          <w:szCs w:val="32"/>
          <w:lang w:val="en-US" w:eastAsia="zh-CN"/>
        </w:rPr>
        <w:t>71</w:t>
      </w:r>
      <w:r>
        <w:rPr>
          <w:rFonts w:hint="eastAsia" w:ascii="仿宋_GB2312" w:eastAsia="仿宋_GB2312"/>
          <w:sz w:val="32"/>
          <w:szCs w:val="30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b/>
          <w:bCs/>
          <w:sz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/>
          <w:bCs/>
          <w:kern w:val="0"/>
          <w:sz w:val="36"/>
          <w:szCs w:val="36"/>
        </w:rPr>
      </w:pPr>
      <w:r>
        <w:rPr>
          <w:rFonts w:eastAsia="宋体"/>
          <w:b/>
          <w:bCs/>
          <w:kern w:val="0"/>
          <w:sz w:val="36"/>
          <w:szCs w:val="36"/>
        </w:rPr>
        <w:t>南安市</w:t>
      </w:r>
      <w:r>
        <w:rPr>
          <w:rFonts w:hint="eastAsia" w:eastAsia="宋体"/>
          <w:b/>
          <w:bCs/>
          <w:kern w:val="0"/>
          <w:sz w:val="36"/>
          <w:szCs w:val="36"/>
          <w:lang w:eastAsia="zh-CN"/>
        </w:rPr>
        <w:t>林业局</w:t>
      </w:r>
      <w:r>
        <w:rPr>
          <w:rFonts w:eastAsia="宋体"/>
          <w:b/>
          <w:bCs/>
          <w:kern w:val="0"/>
          <w:sz w:val="36"/>
          <w:szCs w:val="36"/>
        </w:rPr>
        <w:t>关于下达</w:t>
      </w:r>
      <w:r>
        <w:rPr>
          <w:rFonts w:hint="eastAsia" w:eastAsia="宋体"/>
          <w:b/>
          <w:bCs/>
          <w:kern w:val="0"/>
          <w:sz w:val="36"/>
          <w:szCs w:val="36"/>
        </w:rPr>
        <w:t>20</w:t>
      </w:r>
      <w:r>
        <w:rPr>
          <w:rFonts w:hint="eastAsia" w:eastAsia="宋体"/>
          <w:b/>
          <w:bCs/>
          <w:kern w:val="0"/>
          <w:sz w:val="36"/>
          <w:szCs w:val="36"/>
          <w:lang w:val="en-US" w:eastAsia="zh-CN"/>
        </w:rPr>
        <w:t>20</w:t>
      </w:r>
      <w:r>
        <w:rPr>
          <w:rFonts w:hint="eastAsia" w:eastAsia="宋体"/>
          <w:b/>
          <w:bCs/>
          <w:kern w:val="0"/>
          <w:sz w:val="36"/>
          <w:szCs w:val="36"/>
        </w:rPr>
        <w:t>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宋体"/>
          <w:b/>
          <w:bCs/>
          <w:kern w:val="0"/>
          <w:sz w:val="36"/>
          <w:szCs w:val="36"/>
        </w:rPr>
      </w:pPr>
      <w:r>
        <w:rPr>
          <w:rFonts w:hint="eastAsia" w:eastAsia="宋体"/>
          <w:b/>
          <w:bCs/>
          <w:kern w:val="0"/>
          <w:sz w:val="36"/>
          <w:szCs w:val="36"/>
          <w:lang w:eastAsia="zh-CN"/>
        </w:rPr>
        <w:t>贫困村</w:t>
      </w:r>
      <w:r>
        <w:rPr>
          <w:rFonts w:hint="eastAsia" w:eastAsia="宋体"/>
          <w:b/>
          <w:bCs/>
          <w:kern w:val="0"/>
          <w:sz w:val="36"/>
          <w:szCs w:val="36"/>
        </w:rPr>
        <w:t>泉州市</w:t>
      </w:r>
      <w:r>
        <w:rPr>
          <w:rFonts w:hint="eastAsia" w:eastAsia="宋体"/>
          <w:b/>
          <w:bCs/>
          <w:kern w:val="0"/>
          <w:sz w:val="36"/>
          <w:szCs w:val="36"/>
          <w:lang w:eastAsia="zh-CN"/>
        </w:rPr>
        <w:t>级绿色乡村三年行动建设</w:t>
      </w:r>
      <w:r>
        <w:rPr>
          <w:rFonts w:eastAsia="宋体"/>
          <w:b/>
          <w:bCs/>
          <w:kern w:val="0"/>
          <w:sz w:val="36"/>
          <w:szCs w:val="36"/>
        </w:rPr>
        <w:t>任务的通知</w:t>
      </w:r>
    </w:p>
    <w:p>
      <w:pPr>
        <w:spacing w:line="520" w:lineRule="exact"/>
        <w:jc w:val="left"/>
        <w:rPr>
          <w:rFonts w:hint="eastAsia" w:eastAsia="宋体"/>
          <w:b/>
          <w:bCs/>
          <w:kern w:val="0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jc w:val="left"/>
        <w:textAlignment w:val="auto"/>
        <w:outlineLvl w:val="9"/>
        <w:rPr>
          <w:bCs/>
          <w:kern w:val="0"/>
          <w:sz w:val="32"/>
          <w:szCs w:val="32"/>
        </w:rPr>
      </w:pPr>
      <w:r>
        <w:rPr>
          <w:rFonts w:hint="eastAsia"/>
          <w:bCs/>
          <w:kern w:val="0"/>
          <w:sz w:val="32"/>
          <w:szCs w:val="32"/>
          <w:lang w:eastAsia="zh-CN"/>
        </w:rPr>
        <w:t>翔云镇、向阳乡、眉山乡林业站</w:t>
      </w:r>
      <w:r>
        <w:rPr>
          <w:bCs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根据《泉州市林业局关于下达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2020年绿色乡村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三年行动等项目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建设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任务的通知》（泉林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营</w:t>
      </w:r>
      <w:r>
        <w:rPr>
          <w:rFonts w:hint="eastAsia" w:ascii="仿宋_GB2312" w:hAnsi="仿宋_GB2312" w:eastAsia="仿宋_GB2312" w:cs="仿宋_GB2312"/>
          <w:sz w:val="32"/>
          <w:szCs w:val="32"/>
        </w:rPr>
        <w:t>〔20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号)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文件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精神，现将20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年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贫困村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泉州市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eastAsia="zh-CN"/>
        </w:rPr>
        <w:t>级绿色乡村三年行动建设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任务下达给你们，并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将有关事项通知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textAlignment w:val="auto"/>
        <w:outlineLvl w:val="9"/>
        <w:rPr>
          <w:rFonts w:hint="eastAsia" w:eastAsia="黑体"/>
          <w:bCs/>
          <w:kern w:val="0"/>
          <w:sz w:val="32"/>
          <w:szCs w:val="32"/>
        </w:rPr>
      </w:pPr>
      <w:r>
        <w:rPr>
          <w:rFonts w:hint="eastAsia" w:eastAsia="黑体"/>
          <w:bCs/>
          <w:kern w:val="0"/>
          <w:sz w:val="32"/>
          <w:szCs w:val="32"/>
        </w:rPr>
        <w:t>一、任务</w:t>
      </w:r>
      <w:r>
        <w:rPr>
          <w:rFonts w:hint="eastAsia" w:eastAsia="黑体"/>
          <w:bCs/>
          <w:kern w:val="0"/>
          <w:sz w:val="32"/>
          <w:szCs w:val="32"/>
          <w:lang w:eastAsia="zh-CN"/>
        </w:rPr>
        <w:t>安排及补助标准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kern w:val="0"/>
          <w:sz w:val="32"/>
          <w:szCs w:val="32"/>
          <w:lang w:eastAsia="zh-CN"/>
        </w:rPr>
        <w:t>我市项目数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5个，项目根据工程量清单采用据实决算、先建后补的方式建设，</w:t>
      </w:r>
      <w:r>
        <w:rPr>
          <w:rFonts w:hint="eastAsia" w:ascii="仿宋_GB2312" w:eastAsia="仿宋_GB2312"/>
          <w:b w:val="0"/>
          <w:bCs w:val="0"/>
          <w:kern w:val="0"/>
          <w:sz w:val="32"/>
          <w:szCs w:val="32"/>
          <w:lang w:val="en-US" w:eastAsia="zh-CN"/>
        </w:rPr>
        <w:t>即按合格验收数量安排相应补助资金（验收后计算补助金额少于下达计划50%的村不予补助）</w:t>
      </w:r>
      <w:r>
        <w:rPr>
          <w:rFonts w:hint="eastAsia" w:ascii="仿宋_GB2312"/>
          <w:b w:val="0"/>
          <w:bCs w:val="0"/>
          <w:kern w:val="0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每个村补助上限6.8万元，项目实施地块不得与省级乡村绿化项目地块重叠。（具体名单详见附件）。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textAlignment w:val="auto"/>
        <w:outlineLvl w:val="9"/>
        <w:rPr>
          <w:rFonts w:hint="eastAsia" w:eastAsia="黑体"/>
          <w:bCs/>
          <w:kern w:val="0"/>
          <w:sz w:val="32"/>
          <w:szCs w:val="32"/>
          <w:lang w:val="en-US" w:eastAsia="zh-CN"/>
        </w:rPr>
      </w:pPr>
      <w:r>
        <w:rPr>
          <w:rFonts w:hint="eastAsia" w:eastAsia="黑体"/>
          <w:bCs/>
          <w:kern w:val="0"/>
          <w:sz w:val="32"/>
          <w:szCs w:val="32"/>
          <w:lang w:val="en-US" w:eastAsia="zh-CN"/>
        </w:rPr>
        <w:t>技术要求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对照《泉州市林业局关于开展绿色乡村三年行动的通知》（泉林营〔2018〕4号）、《造林技术规程》（GB/T 15776-2016）、《乡村绿化技术规程》（LY/T 2645-2016）规定，以乔木为主要元素，每村应配置3个以上乔木树种，种植数量不少于300株，并以移栽一年以上的全冠袋苗为主（个别再生能力强的树种如木棉属、羊蹄甲属、凤凰木属的可以采用骨架苗），可依据种植形式和植物群落的多样性、合理性原则配置木草本花卉及立体绿化、水域绿化，但宜实现景观化。种植的苗木应成活管护一年以上，并以市域内苗圃（基地）采购为主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textAlignment w:val="auto"/>
        <w:outlineLvl w:val="9"/>
        <w:rPr>
          <w:rFonts w:hint="eastAsia" w:eastAsia="黑体"/>
          <w:bCs/>
          <w:kern w:val="0"/>
          <w:sz w:val="32"/>
          <w:szCs w:val="32"/>
          <w:lang w:eastAsia="zh-CN"/>
        </w:rPr>
      </w:pPr>
      <w:r>
        <w:rPr>
          <w:rFonts w:hint="eastAsia" w:eastAsia="黑体"/>
          <w:bCs/>
          <w:kern w:val="0"/>
          <w:sz w:val="32"/>
          <w:szCs w:val="32"/>
          <w:lang w:eastAsia="zh-CN"/>
        </w:rPr>
        <w:t>其它要求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eastAsia="黑体"/>
          <w:bCs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（一）落实责任。为顺利推进项目的实施，各乡镇要加强领导，明确工作职责，协调解决工作中出现的困难和问题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，同时要做好监督指导工作，督促建设单位抓好整地挖穴、施基肥、筛选苗木、栽植等施工关键环节，</w:t>
      </w:r>
      <w:r>
        <w:rPr>
          <w:rFonts w:hint="eastAsia" w:ascii="仿宋_GB2312" w:hAnsi="仿宋_GB2312" w:eastAsia="仿宋_GB2312" w:cs="仿宋_GB2312"/>
          <w:sz w:val="32"/>
          <w:szCs w:val="32"/>
        </w:rPr>
        <w:t>确保完成项目建设。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jc w:val="both"/>
        <w:textAlignment w:val="auto"/>
        <w:outlineLvl w:val="9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时限要求。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eastAsia="zh-CN"/>
        </w:rPr>
        <w:t>各乡镇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尽快确定工程队，并与工程队签订合同，及时组织</w:t>
      </w:r>
      <w:r>
        <w:rPr>
          <w:rFonts w:hint="eastAsia" w:ascii="仿宋_GB2312" w:hAnsi="仿宋_GB2312" w:cs="仿宋_GB2312"/>
          <w:kern w:val="2"/>
          <w:sz w:val="32"/>
          <w:szCs w:val="32"/>
          <w:lang w:eastAsia="zh-CN"/>
        </w:rPr>
        <w:t>项目建设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工作，</w:t>
      </w:r>
      <w:r>
        <w:rPr>
          <w:rFonts w:hint="eastAsia" w:ascii="仿宋_GB2312" w:hAnsi="仿宋_GB2312" w:cs="仿宋_GB2312"/>
          <w:b/>
          <w:bCs/>
          <w:kern w:val="2"/>
          <w:sz w:val="32"/>
          <w:szCs w:val="32"/>
          <w:lang w:eastAsia="zh-CN"/>
        </w:rPr>
        <w:t>确保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于</w:t>
      </w:r>
      <w:r>
        <w:rPr>
          <w:rFonts w:hint="eastAsia" w:ascii="仿宋_GB2312" w:hAnsi="仿宋_GB2312" w:cs="仿宋_GB2312"/>
          <w:b/>
          <w:bCs/>
          <w:kern w:val="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月</w:t>
      </w:r>
      <w:r>
        <w:rPr>
          <w:rFonts w:hint="eastAsia" w:ascii="仿宋_GB2312" w:hAnsi="仿宋_GB2312" w:cs="仿宋_GB2312"/>
          <w:b/>
          <w:bCs/>
          <w:kern w:val="2"/>
          <w:sz w:val="32"/>
          <w:szCs w:val="32"/>
          <w:lang w:val="en-US" w:eastAsia="zh-CN"/>
        </w:rPr>
        <w:t>底</w:t>
      </w: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前完成</w:t>
      </w:r>
      <w:r>
        <w:rPr>
          <w:rFonts w:hint="eastAsia" w:ascii="仿宋_GB2312" w:hAnsi="仿宋_GB2312" w:cs="仿宋_GB2312"/>
          <w:b/>
          <w:bCs/>
          <w:kern w:val="2"/>
          <w:sz w:val="32"/>
          <w:szCs w:val="32"/>
          <w:lang w:eastAsia="zh-CN"/>
        </w:rPr>
        <w:t>种植并进入管护程序，在</w:t>
      </w:r>
      <w:r>
        <w:rPr>
          <w:rFonts w:hint="eastAsia" w:ascii="仿宋_GB2312" w:hAnsi="仿宋_GB2312" w:cs="仿宋_GB2312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月</w:t>
      </w:r>
      <w:r>
        <w:rPr>
          <w:rFonts w:hint="eastAsia" w:ascii="仿宋_GB2312" w:hAnsi="仿宋_GB2312" w:cs="仿宋_GB2312"/>
          <w:b/>
          <w:bCs/>
          <w:sz w:val="32"/>
          <w:szCs w:val="32"/>
          <w:lang w:val="en-US" w:eastAsia="zh-CN"/>
        </w:rPr>
        <w:t>10日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前开展自查工作，并将自查验收材料上报市林业局，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市林业局将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在</w:t>
      </w:r>
      <w:r>
        <w:rPr>
          <w:rFonts w:hint="eastAsia" w:ascii="仿宋_GB2312" w:hAnsi="仿宋_GB2312" w:cs="仿宋_GB2312"/>
          <w:bCs/>
          <w:sz w:val="32"/>
          <w:szCs w:val="32"/>
          <w:lang w:val="en-US" w:eastAsia="zh-CN"/>
        </w:rPr>
        <w:t>11月底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组织开展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县级自查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验收，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并将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验收结果</w:t>
      </w:r>
      <w:r>
        <w:rPr>
          <w:rFonts w:hint="eastAsia" w:ascii="仿宋_GB2312" w:hAnsi="仿宋_GB2312" w:cs="仿宋_GB2312"/>
          <w:bCs/>
          <w:sz w:val="32"/>
          <w:szCs w:val="32"/>
          <w:lang w:eastAsia="zh-CN"/>
        </w:rPr>
        <w:t>上报泉州市林业局。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（三）资料收集。</w:t>
      </w:r>
      <w:r>
        <w:rPr>
          <w:rFonts w:hint="eastAsia" w:ascii="仿宋_GB2312" w:hAnsi="仿宋_GB2312" w:eastAsia="仿宋_GB2312" w:cs="仿宋_GB2312"/>
          <w:sz w:val="32"/>
          <w:szCs w:val="32"/>
        </w:rPr>
        <w:t>请你们务必做好项目建设档案的收集和整理建档工作，包括:项目建设合同；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项目实施前、实施过程、建设完成的</w:t>
      </w:r>
      <w:r>
        <w:rPr>
          <w:rFonts w:hint="eastAsia" w:ascii="仿宋_GB2312" w:hAnsi="仿宋_GB2312" w:eastAsia="仿宋_GB2312" w:cs="仿宋_GB2312"/>
          <w:sz w:val="32"/>
          <w:szCs w:val="32"/>
        </w:rPr>
        <w:t>照片收集；自查材料等。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项目资料装订成册，连同自查材料一并报送市林业局营林站</w:t>
      </w:r>
      <w:r>
        <w:rPr>
          <w:rFonts w:hint="eastAsia" w:ascii="仿宋_GB2312" w:hAnsi="仿宋_GB2312" w:cs="仿宋_GB2312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联系电话：86373903，邮箱：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"mailto:nalyyl@126.com。"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nalyyl@126.com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附件：1、南安市2020年贫困村泉州市级绿色乡村三年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   行动建设任务安排表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2、泉州市绿色乡村三年行动补助标准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3、南安市2020年泉州市级绿色乡村三年行动项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   目自查情况一览表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 xml:space="preserve">                                   南安市林业局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 xml:space="preserve">                                  2020年6月1日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bCs/>
          <w:kern w:val="0"/>
          <w:sz w:val="32"/>
          <w:szCs w:val="32"/>
          <w:lang w:val="en-US" w:eastAsia="zh-CN"/>
        </w:rPr>
        <w:t>（此件主动公开）</w:t>
      </w:r>
      <w:r>
        <w:rPr>
          <w:rFonts w:hint="eastAsia" w:ascii="仿宋_GB2312" w:hAnsi="仿宋_GB2312" w:eastAsia="仿宋_GB2312" w:cs="仿宋_GB2312"/>
          <w:bCs/>
          <w:kern w:val="0"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附件1：</w:t>
      </w: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20" w:lineRule="exact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南安市2020年贫困村泉州市级</w:t>
      </w:r>
    </w:p>
    <w:p>
      <w:pPr>
        <w:numPr>
          <w:ilvl w:val="0"/>
          <w:numId w:val="0"/>
        </w:numPr>
        <w:spacing w:line="520" w:lineRule="exact"/>
        <w:jc w:val="center"/>
        <w:rPr>
          <w:rFonts w:hint="eastAsia" w:ascii="仿宋_GB2312" w:hAnsi="仿宋_GB2312" w:cs="仿宋_GB2312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绿色乡村三年行动建设任务安排表</w:t>
      </w: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tbl>
      <w:tblPr>
        <w:tblStyle w:val="7"/>
        <w:tblW w:w="8522" w:type="dxa"/>
        <w:jc w:val="center"/>
        <w:tblInd w:w="-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6"/>
        <w:gridCol w:w="3420"/>
        <w:gridCol w:w="25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875" w:hRule="atLeast"/>
          <w:jc w:val="center"/>
        </w:trPr>
        <w:tc>
          <w:tcPr>
            <w:tcW w:w="2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/>
                <w:bCs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eastAsia="zh-CN"/>
              </w:rPr>
              <w:t>单位</w:t>
            </w:r>
          </w:p>
        </w:tc>
        <w:tc>
          <w:tcPr>
            <w:tcW w:w="3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/>
                <w:bCs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村名单</w:t>
            </w:r>
          </w:p>
        </w:tc>
        <w:tc>
          <w:tcPr>
            <w:tcW w:w="256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lang w:val="en-US" w:eastAsia="zh-CN"/>
              </w:rPr>
              <w:t>资金安排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25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b/>
                <w:bCs/>
                <w:color w:val="auto"/>
                <w:lang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auto"/>
                <w:lang w:eastAsia="zh-CN"/>
              </w:rPr>
              <w:t>南安市</w:t>
            </w:r>
          </w:p>
        </w:tc>
        <w:tc>
          <w:tcPr>
            <w:tcW w:w="34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color w:val="auto"/>
                <w:lang w:val="en-US" w:eastAsia="zh-CN"/>
              </w:rPr>
              <w:t>5个</w:t>
            </w:r>
          </w:p>
        </w:tc>
        <w:tc>
          <w:tcPr>
            <w:tcW w:w="2566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 w:val="0"/>
                <w:bCs w:val="0"/>
                <w:color w:val="auto"/>
                <w:lang w:val="en-US" w:eastAsia="zh-CN"/>
              </w:rPr>
              <w:t>每个村补助6.8万元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25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eastAsia="zh-CN"/>
              </w:rPr>
            </w:pPr>
            <w:r>
              <w:rPr>
                <w:rFonts w:hint="eastAsia" w:ascii="仿宋_GB2312" w:hAnsi="仿宋_GB2312" w:cs="仿宋_GB2312"/>
                <w:lang w:eastAsia="zh-CN"/>
              </w:rPr>
              <w:t>翔云镇</w:t>
            </w:r>
          </w:p>
        </w:tc>
        <w:tc>
          <w:tcPr>
            <w:tcW w:w="34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lang w:eastAsia="zh-CN"/>
              </w:rPr>
              <w:t>梅庄村、翔山村</w:t>
            </w:r>
          </w:p>
        </w:tc>
        <w:tc>
          <w:tcPr>
            <w:tcW w:w="25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25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eastAsia="zh-CN"/>
              </w:rPr>
            </w:pPr>
            <w:r>
              <w:rPr>
                <w:rFonts w:hint="eastAsia" w:ascii="仿宋_GB2312" w:hAnsi="仿宋_GB2312" w:cs="仿宋_GB2312"/>
                <w:lang w:eastAsia="zh-CN"/>
              </w:rPr>
              <w:t>向阳乡</w:t>
            </w:r>
          </w:p>
        </w:tc>
        <w:tc>
          <w:tcPr>
            <w:tcW w:w="34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eastAsia="zh-CN"/>
              </w:rPr>
            </w:pPr>
            <w:r>
              <w:rPr>
                <w:rFonts w:hint="eastAsia" w:ascii="仿宋_GB2312" w:hAnsi="仿宋_GB2312" w:cs="仿宋_GB2312"/>
                <w:lang w:val="en-US" w:eastAsia="zh-CN"/>
              </w:rPr>
              <w:t>向阳村、卓厝村</w:t>
            </w:r>
          </w:p>
        </w:tc>
        <w:tc>
          <w:tcPr>
            <w:tcW w:w="25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  <w:jc w:val="center"/>
        </w:trPr>
        <w:tc>
          <w:tcPr>
            <w:tcW w:w="2536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eastAsia="zh-CN"/>
              </w:rPr>
            </w:pPr>
            <w:r>
              <w:rPr>
                <w:rFonts w:hint="eastAsia" w:ascii="仿宋_GB2312" w:hAnsi="仿宋_GB2312" w:cs="仿宋_GB2312"/>
                <w:lang w:eastAsia="zh-CN"/>
              </w:rPr>
              <w:t>眉山乡</w:t>
            </w:r>
          </w:p>
        </w:tc>
        <w:tc>
          <w:tcPr>
            <w:tcW w:w="342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lang w:eastAsia="zh-CN"/>
              </w:rPr>
              <w:t>三凌村</w:t>
            </w:r>
          </w:p>
        </w:tc>
        <w:tc>
          <w:tcPr>
            <w:tcW w:w="2566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cs="仿宋_GB2312"/>
                <w:lang w:eastAsia="zh-CN"/>
              </w:rPr>
            </w:pPr>
          </w:p>
        </w:tc>
      </w:tr>
    </w:tbl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numPr>
          <w:ilvl w:val="0"/>
          <w:numId w:val="0"/>
        </w:numPr>
        <w:spacing w:line="52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泉州市绿色乡村三年行动补助标准</w:t>
      </w:r>
    </w:p>
    <w:p>
      <w:pPr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40" w:right="1800" w:bottom="1440" w:left="1800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/>
          <w:cols w:space="720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189855" cy="7626350"/>
            <wp:effectExtent l="0" t="0" r="10795" b="12700"/>
            <wp:docPr id="5" name="图片 5" descr="微信图片_2020060110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601105216"/>
                    <pic:cNvPicPr>
                      <a:picLocks noChangeAspect="1"/>
                    </pic:cNvPicPr>
                  </pic:nvPicPr>
                  <pic:blipFill>
                    <a:blip r:embed="rId9"/>
                    <a:srcRect t="13779" r="7496" b="9473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14382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44"/>
        <w:gridCol w:w="601"/>
        <w:gridCol w:w="1109"/>
        <w:gridCol w:w="855"/>
        <w:gridCol w:w="703"/>
        <w:gridCol w:w="779"/>
        <w:gridCol w:w="735"/>
        <w:gridCol w:w="134"/>
        <w:gridCol w:w="721"/>
        <w:gridCol w:w="155"/>
        <w:gridCol w:w="610"/>
        <w:gridCol w:w="122"/>
        <w:gridCol w:w="478"/>
        <w:gridCol w:w="119"/>
        <w:gridCol w:w="721"/>
        <w:gridCol w:w="971"/>
        <w:gridCol w:w="186"/>
        <w:gridCol w:w="598"/>
        <w:gridCol w:w="92"/>
        <w:gridCol w:w="628"/>
        <w:gridCol w:w="175"/>
        <w:gridCol w:w="605"/>
        <w:gridCol w:w="264"/>
        <w:gridCol w:w="606"/>
        <w:gridCol w:w="364"/>
        <w:gridCol w:w="757"/>
        <w:gridCol w:w="6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13732" w:type="dxa"/>
            <w:gridSpan w:val="2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附件3：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南安市2020年泉州市级绿色乡村三年行动项目自查情况一览表</w:t>
            </w: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0" w:hRule="atLeast"/>
          <w:jc w:val="center"/>
        </w:trPr>
        <w:tc>
          <w:tcPr>
            <w:tcW w:w="5560" w:type="dxa"/>
            <w:gridSpan w:val="8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/>
                <w:sz w:val="32"/>
                <w:szCs w:val="32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lang w:eastAsia="zh-CN"/>
              </w:rPr>
              <w:t>乡镇（</w:t>
            </w:r>
            <w:r>
              <w:rPr>
                <w:rFonts w:hint="eastAsia" w:ascii="宋体" w:hAnsi="宋体" w:eastAsia="宋体" w:cs="宋体"/>
                <w:b w:val="0"/>
                <w:bCs w:val="0"/>
                <w:sz w:val="32"/>
                <w:szCs w:val="32"/>
                <w:lang w:val="en-US" w:eastAsia="zh-CN"/>
              </w:rPr>
              <w:t>街道）</w:t>
            </w:r>
            <w:r>
              <w:rPr>
                <w:rFonts w:hint="eastAsia" w:ascii="宋体" w:hAnsi="宋体" w:eastAsia="宋体" w:cs="宋体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t xml:space="preserve">             </w:t>
            </w:r>
          </w:p>
        </w:tc>
        <w:tc>
          <w:tcPr>
            <w:tcW w:w="876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32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57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90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03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69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57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650" w:type="dxa"/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5" w:hRule="atLeast"/>
          <w:jc w:val="center"/>
        </w:trPr>
        <w:tc>
          <w:tcPr>
            <w:tcW w:w="644" w:type="dxa"/>
            <w:vMerge w:val="restart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街道（镇、乡）</w:t>
            </w:r>
          </w:p>
        </w:tc>
        <w:tc>
          <w:tcPr>
            <w:tcW w:w="601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村</w:t>
            </w:r>
          </w:p>
        </w:tc>
        <w:tc>
          <w:tcPr>
            <w:tcW w:w="1109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地点</w:t>
            </w:r>
          </w:p>
        </w:tc>
        <w:tc>
          <w:tcPr>
            <w:tcW w:w="6132" w:type="dxa"/>
            <w:gridSpan w:val="12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乔木类种植情况</w:t>
            </w:r>
          </w:p>
        </w:tc>
        <w:tc>
          <w:tcPr>
            <w:tcW w:w="5246" w:type="dxa"/>
            <w:gridSpan w:val="11"/>
            <w:tcBorders>
              <w:top w:val="single" w:color="000000" w:sz="12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花灌木类种植情况</w:t>
            </w:r>
          </w:p>
        </w:tc>
        <w:tc>
          <w:tcPr>
            <w:tcW w:w="650" w:type="dxa"/>
            <w:vMerge w:val="restart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种植方式（片林、四旁树）</w:t>
            </w:r>
          </w:p>
        </w:tc>
        <w:tc>
          <w:tcPr>
            <w:tcW w:w="70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树种</w:t>
            </w:r>
          </w:p>
        </w:tc>
        <w:tc>
          <w:tcPr>
            <w:tcW w:w="77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苗木规格(胸地径cm)</w:t>
            </w:r>
          </w:p>
        </w:tc>
        <w:tc>
          <w:tcPr>
            <w:tcW w:w="7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补助标准（元/株）</w:t>
            </w:r>
          </w:p>
        </w:tc>
        <w:tc>
          <w:tcPr>
            <w:tcW w:w="85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合格株数（株）</w:t>
            </w:r>
          </w:p>
        </w:tc>
        <w:tc>
          <w:tcPr>
            <w:tcW w:w="76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是否乡土或珍贵树种</w:t>
            </w:r>
          </w:p>
        </w:tc>
        <w:tc>
          <w:tcPr>
            <w:tcW w:w="60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株数占比（%）</w:t>
            </w:r>
          </w:p>
        </w:tc>
        <w:tc>
          <w:tcPr>
            <w:tcW w:w="84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单项补助金额（元）</w:t>
            </w:r>
          </w:p>
        </w:tc>
        <w:tc>
          <w:tcPr>
            <w:tcW w:w="9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地点</w:t>
            </w:r>
          </w:p>
        </w:tc>
        <w:tc>
          <w:tcPr>
            <w:tcW w:w="78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树种</w:t>
            </w:r>
          </w:p>
        </w:tc>
        <w:tc>
          <w:tcPr>
            <w:tcW w:w="15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合格量</w:t>
            </w:r>
          </w:p>
        </w:tc>
        <w:tc>
          <w:tcPr>
            <w:tcW w:w="870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单价(元/株或元/平方米）</w:t>
            </w:r>
          </w:p>
        </w:tc>
        <w:tc>
          <w:tcPr>
            <w:tcW w:w="112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结算金额（元）</w:t>
            </w:r>
          </w:p>
        </w:tc>
        <w:tc>
          <w:tcPr>
            <w:tcW w:w="650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5" w:hRule="atLeast"/>
          <w:jc w:val="center"/>
        </w:trPr>
        <w:tc>
          <w:tcPr>
            <w:tcW w:w="644" w:type="dxa"/>
            <w:vMerge w:val="continue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株数（株）</w:t>
            </w:r>
          </w:p>
        </w:tc>
        <w:tc>
          <w:tcPr>
            <w:tcW w:w="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面积（平方米</w:t>
            </w:r>
          </w:p>
        </w:tc>
        <w:tc>
          <w:tcPr>
            <w:tcW w:w="870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restart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不同树种、不同规格分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行填写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644" w:type="dxa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0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7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5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65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0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4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784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2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70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21" w:type="dxa"/>
            <w:gridSpan w:val="2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71" w:hRule="atLeast"/>
          <w:jc w:val="center"/>
        </w:trPr>
        <w:tc>
          <w:tcPr>
            <w:tcW w:w="2354" w:type="dxa"/>
            <w:gridSpan w:val="3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补助金额核算</w:t>
            </w:r>
          </w:p>
        </w:tc>
        <w:tc>
          <w:tcPr>
            <w:tcW w:w="11378" w:type="dxa"/>
            <w:gridSpan w:val="23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650" w:type="dxa"/>
            <w:vMerge w:val="continue"/>
            <w:tcBorders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0" w:hRule="atLeast"/>
          <w:jc w:val="center"/>
        </w:trPr>
        <w:tc>
          <w:tcPr>
            <w:tcW w:w="14382" w:type="dxa"/>
            <w:gridSpan w:val="27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备注：1.</w:t>
            </w:r>
            <w:r>
              <w:rPr>
                <w:rFonts w:hint="eastAsia" w:ascii="仿宋_GB2312" w:hAnsi="宋体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不合格苗木不予验收统计和补助，</w:t>
            </w: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不符合建设规定的根据统计情况核减补助金额。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检查人员：                           分管领导：                        检查时间：</w:t>
            </w:r>
          </w:p>
        </w:tc>
      </w:tr>
    </w:tbl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  <w:sectPr>
          <w:footerReference r:id="rId6" w:type="default"/>
          <w:pgSz w:w="16838" w:h="11906" w:orient="landscape"/>
          <w:pgMar w:top="1134" w:right="1440" w:bottom="1134" w:left="1440" w:header="851" w:footer="992" w:gutter="0"/>
          <w:pg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pgBorders>
          <w:pgNumType w:fmt="numberInDash" w:start="7"/>
          <w:cols w:space="0" w:num="1"/>
          <w:rtlGutter w:val="0"/>
          <w:docGrid w:type="lines" w:linePitch="458" w:charSpace="0"/>
        </w:sect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</w:p>
    <w:p>
      <w:pPr>
        <w:spacing w:line="520" w:lineRule="exact"/>
        <w:ind w:right="1120"/>
        <w:jc w:val="both"/>
        <w:rPr>
          <w:rFonts w:hint="eastAsia"/>
          <w:kern w:val="0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330200</wp:posOffset>
                </wp:positionV>
                <wp:extent cx="5257800" cy="0"/>
                <wp:effectExtent l="0" t="0" r="0" b="0"/>
                <wp:wrapNone/>
                <wp:docPr id="1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4" o:spid="_x0000_s1026" o:spt="20" style="position:absolute;left:0pt;margin-left:3.4pt;margin-top:26pt;height:0pt;width:414pt;z-index:251662336;mso-width-relative:page;mso-height-relative:page;" filled="f" stroked="t" coordsize="21600,21600" o:gfxdata="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7HUUjUAAAABwEAAA8AAAAAAAAAAQAgAAAAIgAAAGRycy9kb3ducmV2LnhtbFBL&#10;AQIUABQAAAAIAIdO4kDkKNMmwQEAAIwDAAAOAAAAAAAAAAEAIAAAACMBAABkcnMvZTJvRG9jLnht&#10;bFBLBQYAAAAABgAGAFkBAABW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kern w:val="0"/>
          <w:szCs w:val="32"/>
          <w:lang w:val="en-US" w:eastAsia="zh-CN"/>
        </w:rPr>
        <w:t xml:space="preserve"> </w:t>
      </w:r>
      <w:r>
        <w:rPr>
          <w:rFonts w:hint="eastAsia"/>
          <w:sz w:val="30"/>
          <w:szCs w:val="30"/>
          <w:lang w:val="en-US" w:eastAsia="zh-CN"/>
        </w:rPr>
        <w:t xml:space="preserve"> 抄送：</w:t>
      </w:r>
      <w:r>
        <w:rPr>
          <w:rFonts w:hint="eastAsia"/>
          <w:sz w:val="30"/>
          <w:szCs w:val="30"/>
          <w:lang w:eastAsia="zh-CN"/>
        </w:rPr>
        <w:t>翔云镇、向阳乡、眉山乡人民政府。</w:t>
      </w:r>
    </w:p>
    <w:p>
      <w:pPr>
        <w:pStyle w:val="8"/>
        <w:spacing w:line="520" w:lineRule="exact"/>
        <w:ind w:left="0" w:leftChars="0" w:right="320" w:rightChars="100" w:firstLine="0" w:firstLineChars="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12700</wp:posOffset>
                </wp:positionV>
                <wp:extent cx="5257800" cy="0"/>
                <wp:effectExtent l="0" t="0" r="0" b="0"/>
                <wp:wrapNone/>
                <wp:docPr id="4" name="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4" o:spid="_x0000_s1026" o:spt="20" style="position:absolute;left:0pt;margin-left:4.15pt;margin-top:1pt;height:0pt;width:414pt;z-index:251659264;mso-width-relative:page;mso-height-relative:page;" filled="f" stroked="t" coordsize="21600,21600" o:gfxdata="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bmic+0gAAAAUBAAAPAAAAAAAAAAEAIAAAACIAAABkcnMvZG93bnJldi54bWxQSwEC&#10;FAAUAAAACACHTuJAQ4kalMEBAACMAwAADgAAAAAAAAABACAAAAAhAQAAZHJzL2Uyb0RvYy54bWxQ&#10;SwUGAAAAAAYABgBZAQAAV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394970</wp:posOffset>
                </wp:positionV>
                <wp:extent cx="5257800" cy="0"/>
                <wp:effectExtent l="0" t="0" r="0" b="0"/>
                <wp:wrapNone/>
                <wp:docPr id="3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5" o:spid="_x0000_s1026" o:spt="20" style="position:absolute;left:0pt;margin-left:3.4pt;margin-top:31.1pt;height:0pt;width:414pt;z-index:251660288;mso-width-relative:page;mso-height-relative:page;" filled="f" stroked="t" coordsize="21600,21600" o:gfxdata="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Dsg/vUAAAABwEAAA8AAAAAAAAAAQAgAAAAIgAAAGRycy9kb3ducmV2LnhtbFBL&#10;AQIUABQAAAAIAIdO4kCM1m9wwQEAAIwDAAAOAAAAAAAAAAEAIAAAACMBAABkcnMvZTJvRG9jLnht&#10;bFBLBQYAAAAABgAGAFkBAABW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388620</wp:posOffset>
                </wp:positionV>
                <wp:extent cx="635" cy="0"/>
                <wp:effectExtent l="0" t="0" r="0" b="0"/>
                <wp:wrapNone/>
                <wp:docPr id="2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margin-left:9pt;margin-top:30.6pt;height:0pt;width:0.05pt;z-index:251658240;mso-width-relative:page;mso-height-relative:page;" filled="f" stroked="t" coordsize="21600,21600" o:gfxdata="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Bw6bKNMAAAAHAQAADwAAAAAAAAABACAAAAAiAAAAZHJzL2Rvd25yZXYueG1sUEsBAhQA&#10;FAAAAAgAh07iQMd3Smq+AQAAiAMAAA4AAAAAAAAAAQAgAAAAIgEAAGRycy9lMm9Eb2MueG1sUEsF&#10;BgAAAAAGAAYAWQEAAFI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0"/>
          <w:szCs w:val="30"/>
        </w:rPr>
        <w:t>南安市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林业局办公室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t>20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sz w:val="30"/>
          <w:szCs w:val="30"/>
        </w:rPr>
        <w:t>年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0"/>
          <w:szCs w:val="30"/>
        </w:rPr>
        <w:t>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日印发</w:t>
      </w:r>
    </w:p>
    <w:sectPr>
      <w:footerReference r:id="rId7" w:type="default"/>
      <w:pgSz w:w="11906" w:h="16838"/>
      <w:pgMar w:top="1440" w:right="1800" w:bottom="1440" w:left="1800" w:header="851" w:footer="992" w:gutter="0"/>
      <w:pg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altName w:val="宋体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altName w:val="宋体"/>
    <w:panose1 w:val="03000509000000000000"/>
    <w:charset w:val="86"/>
    <w:family w:val="script"/>
    <w:pitch w:val="default"/>
    <w:sig w:usb0="00000000" w:usb1="00000000" w:usb2="00000010" w:usb3="00000000" w:csb0="003C0041" w:csb1="00000000"/>
  </w:font>
  <w:font w:name="黑体">
    <w:panose1 w:val="02010600030101010101"/>
    <w:charset w:val="86"/>
    <w:family w:val="script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080E0000" w:usb2="00000000" w:usb3="00000000" w:csb0="00040001" w:csb1="00000000"/>
  </w:font>
  <w:font w:name="黑体">
    <w:panose1 w:val="02010600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Batang">
    <w:altName w:val="GulimChe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方正仿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方正仿宋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rFonts w:hint="eastAsia" w:ascii="黑体" w:eastAsia="黑体"/>
        <w:sz w:val="28"/>
        <w:szCs w:val="28"/>
      </w:rPr>
    </w:pPr>
    <w:r>
      <w:rPr>
        <w:rFonts w:hint="eastAsia" w:ascii="黑体" w:eastAsia="黑体"/>
        <w:sz w:val="28"/>
        <w:szCs w:val="28"/>
      </w:rPr>
      <w:fldChar w:fldCharType="begin"/>
    </w:r>
    <w:r>
      <w:rPr>
        <w:rStyle w:val="5"/>
        <w:rFonts w:hint="eastAsia" w:ascii="黑体" w:eastAsia="黑体"/>
        <w:sz w:val="28"/>
        <w:szCs w:val="28"/>
      </w:rPr>
      <w:instrText xml:space="preserve">PAGE  </w:instrText>
    </w:r>
    <w:r>
      <w:rPr>
        <w:rFonts w:hint="eastAsia" w:ascii="黑体" w:eastAsia="黑体"/>
        <w:sz w:val="28"/>
        <w:szCs w:val="28"/>
      </w:rPr>
      <w:fldChar w:fldCharType="separate"/>
    </w:r>
    <w:r>
      <w:rPr>
        <w:rStyle w:val="5"/>
        <w:rFonts w:ascii="黑体" w:eastAsia="黑体"/>
        <w:sz w:val="28"/>
        <w:szCs w:val="28"/>
      </w:rPr>
      <w:t>- 3 -</w:t>
    </w:r>
    <w:r>
      <w:rPr>
        <w:rFonts w:hint="eastAsia" w:ascii="黑体" w:eastAsia="黑体"/>
        <w:sz w:val="28"/>
        <w:szCs w:val="28"/>
      </w:rPr>
      <w:fldChar w:fldCharType="end"/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Style w:val="5"/>
                              <w:rFonts w:hint="eastAsia" w:ascii="黑体" w:eastAsia="黑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Style w:val="5"/>
                              <w:rFonts w:hint="eastAsia" w:ascii="黑体" w:eastAsia="黑体"/>
                              <w:sz w:val="28"/>
                              <w:szCs w:val="28"/>
                              <w:lang w:val="en-US" w:eastAsia="zh-CN"/>
                            </w:rPr>
                            <w:t>- 6 -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5"/>
                        <w:rFonts w:hint="eastAsia" w:ascii="黑体" w:eastAsia="黑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Style w:val="5"/>
                        <w:rFonts w:hint="eastAsia" w:ascii="黑体" w:eastAsia="黑体"/>
                        <w:sz w:val="28"/>
                        <w:szCs w:val="28"/>
                        <w:lang w:val="en-US" w:eastAsia="zh-CN"/>
                      </w:rPr>
                      <w:t>- 6 -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87DE1"/>
    <w:multiLevelType w:val="singleLevel"/>
    <w:tmpl w:val="59B87DE1"/>
    <w:lvl w:ilvl="0" w:tentative="0">
      <w:start w:val="2"/>
      <w:numFmt w:val="chineseCounting"/>
      <w:suff w:val="nothing"/>
      <w:lvlText w:val="（%1）"/>
      <w:lvlJc w:val="left"/>
    </w:lvl>
  </w:abstractNum>
  <w:abstractNum w:abstractNumId="1">
    <w:nsid w:val="5ABC36D5"/>
    <w:multiLevelType w:val="singleLevel"/>
    <w:tmpl w:val="5ABC36D5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22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61478"/>
    <w:rsid w:val="075613E1"/>
    <w:rsid w:val="07A90183"/>
    <w:rsid w:val="0D3D0AA7"/>
    <w:rsid w:val="1332199B"/>
    <w:rsid w:val="1D93555D"/>
    <w:rsid w:val="2C5F3B28"/>
    <w:rsid w:val="2C9A1A99"/>
    <w:rsid w:val="30B248F3"/>
    <w:rsid w:val="30BE0365"/>
    <w:rsid w:val="30D43605"/>
    <w:rsid w:val="33106265"/>
    <w:rsid w:val="3454706A"/>
    <w:rsid w:val="34D5341F"/>
    <w:rsid w:val="3513128D"/>
    <w:rsid w:val="35606DBC"/>
    <w:rsid w:val="3C743057"/>
    <w:rsid w:val="3DB16266"/>
    <w:rsid w:val="3DC007F9"/>
    <w:rsid w:val="3E107D3B"/>
    <w:rsid w:val="431D3556"/>
    <w:rsid w:val="455A62F3"/>
    <w:rsid w:val="47766DCD"/>
    <w:rsid w:val="492A1BE8"/>
    <w:rsid w:val="49E67372"/>
    <w:rsid w:val="4AA07548"/>
    <w:rsid w:val="4AD63539"/>
    <w:rsid w:val="4C61275C"/>
    <w:rsid w:val="4E0C0010"/>
    <w:rsid w:val="51987F92"/>
    <w:rsid w:val="534862AD"/>
    <w:rsid w:val="559F3729"/>
    <w:rsid w:val="5ADB2C48"/>
    <w:rsid w:val="5AFD1D58"/>
    <w:rsid w:val="5DED2A9B"/>
    <w:rsid w:val="5E1E0E50"/>
    <w:rsid w:val="5FEA0492"/>
    <w:rsid w:val="603139F5"/>
    <w:rsid w:val="624F0C01"/>
    <w:rsid w:val="625B4F13"/>
    <w:rsid w:val="639A7FCA"/>
    <w:rsid w:val="68366AA5"/>
    <w:rsid w:val="695B7D42"/>
    <w:rsid w:val="69A35945"/>
    <w:rsid w:val="6DD875F9"/>
    <w:rsid w:val="6E466AE8"/>
    <w:rsid w:val="6F184672"/>
    <w:rsid w:val="70A3524F"/>
    <w:rsid w:val="72061FD0"/>
    <w:rsid w:val="747E03C3"/>
    <w:rsid w:val="74AF0F06"/>
    <w:rsid w:val="77C55619"/>
    <w:rsid w:val="7AC12195"/>
    <w:rsid w:val="7F8A0A6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basedOn w:val="4"/>
    <w:qFormat/>
    <w:uiPriority w:val="0"/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8">
    <w:name w:val="p0"/>
    <w:basedOn w:val="1"/>
    <w:qFormat/>
    <w:uiPriority w:val="0"/>
    <w:pPr>
      <w:widowControl/>
      <w:ind w:firstLine="420"/>
      <w:jc w:val="left"/>
    </w:pPr>
    <w:rPr>
      <w:rFonts w:eastAsia="宋体"/>
      <w:kern w:val="0"/>
      <w:sz w:val="20"/>
      <w:szCs w:val="20"/>
    </w:rPr>
  </w:style>
  <w:style w:type="character" w:customStyle="1" w:styleId="9">
    <w:name w:val="font1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character" w:customStyle="1" w:styleId="10">
    <w:name w:val="font0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2020-06-01T02:58:00Z</cp:lastPrinted>
  <dcterms:modified xsi:type="dcterms:W3CDTF">2020-06-01T03:36:18Z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