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eastAsia" w:ascii="Times New Roman" w:hAnsi="Times New Roman" w:eastAsia="方正仿宋_GBK" w:cs="方正仿宋_GBK"/>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南交〔20</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方正小标宋简体" w:cs="Times New Roman"/>
          <w:b/>
          <w:bCs/>
          <w:color w:val="auto"/>
          <w:sz w:val="44"/>
          <w:szCs w:val="44"/>
          <w:highlight w:val="none"/>
        </w:rPr>
      </w:pPr>
    </w:p>
    <w:p>
      <w:pPr>
        <w:pStyle w:val="6"/>
        <w:keepNext w:val="0"/>
        <w:keepLines w:val="0"/>
        <w:pageBreakBefore w:val="0"/>
        <w:kinsoku/>
        <w:wordWrap/>
        <w:overflowPunct/>
        <w:topLinePunct w:val="0"/>
        <w:autoSpaceDE/>
        <w:autoSpaceDN/>
        <w:bidi w:val="0"/>
        <w:spacing w:line="580" w:lineRule="exact"/>
        <w:ind w:left="0" w:leftChars="0" w:right="0"/>
        <w:jc w:val="center"/>
        <w:textAlignment w:val="auto"/>
        <w:rPr>
          <w:rFonts w:hint="eastAsia" w:ascii="Times New Roman" w:hAnsi="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方正小标宋简体" w:cs="Times New Roman"/>
          <w:b w:val="0"/>
          <w:bCs w:val="0"/>
          <w:color w:val="auto"/>
          <w:sz w:val="44"/>
          <w:szCs w:val="44"/>
          <w:highlight w:val="none"/>
          <w:lang w:eastAsia="zh-CN"/>
        </w:rPr>
      </w:pPr>
      <w:r>
        <w:rPr>
          <w:rFonts w:hint="eastAsia" w:ascii="Times New Roman" w:hAnsi="Times New Roman" w:eastAsia="方正小标宋简体" w:cs="Times New Roman"/>
          <w:b w:val="0"/>
          <w:bCs w:val="0"/>
          <w:color w:val="auto"/>
          <w:sz w:val="44"/>
          <w:szCs w:val="44"/>
          <w:highlight w:val="none"/>
        </w:rPr>
        <w:t>南安市交通运输局</w:t>
      </w:r>
      <w:r>
        <w:rPr>
          <w:rFonts w:hint="eastAsia" w:ascii="Times New Roman" w:hAnsi="Times New Roman" w:eastAsia="方正小标宋简体" w:cs="Times New Roman"/>
          <w:b w:val="0"/>
          <w:bCs w:val="0"/>
          <w:color w:val="auto"/>
          <w:sz w:val="44"/>
          <w:szCs w:val="44"/>
          <w:highlight w:val="none"/>
          <w:lang w:eastAsia="zh-CN"/>
        </w:rPr>
        <w:t>关于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方正小标宋简体" w:cs="Times New Roman"/>
          <w:b w:val="0"/>
          <w:bCs w:val="0"/>
          <w:color w:val="auto"/>
          <w:sz w:val="44"/>
          <w:szCs w:val="44"/>
          <w:highlight w:val="none"/>
          <w:lang w:eastAsia="zh-CN"/>
        </w:rPr>
      </w:pPr>
      <w:r>
        <w:rPr>
          <w:rFonts w:hint="eastAsia" w:ascii="Times New Roman" w:hAnsi="Times New Roman" w:eastAsia="方正小标宋简体" w:cs="Times New Roman"/>
          <w:b w:val="0"/>
          <w:bCs w:val="0"/>
          <w:color w:val="auto"/>
          <w:sz w:val="44"/>
          <w:szCs w:val="44"/>
          <w:highlight w:val="none"/>
          <w:lang w:eastAsia="zh-CN"/>
        </w:rPr>
        <w:t>印发</w:t>
      </w:r>
      <w:r>
        <w:rPr>
          <w:rFonts w:hint="eastAsia" w:ascii="Times New Roman" w:hAnsi="Times New Roman" w:eastAsia="方正小标宋简体" w:cs="Times New Roman"/>
          <w:b w:val="0"/>
          <w:bCs w:val="0"/>
          <w:color w:val="auto"/>
          <w:sz w:val="44"/>
          <w:szCs w:val="44"/>
          <w:highlight w:val="none"/>
        </w:rPr>
        <w:t>202</w:t>
      </w:r>
      <w:r>
        <w:rPr>
          <w:rFonts w:hint="eastAsia" w:ascii="Times New Roman" w:hAnsi="Times New Roman" w:eastAsia="方正小标宋简体" w:cs="Times New Roman"/>
          <w:b w:val="0"/>
          <w:bCs w:val="0"/>
          <w:color w:val="auto"/>
          <w:sz w:val="44"/>
          <w:szCs w:val="44"/>
          <w:highlight w:val="none"/>
          <w:lang w:val="en-US" w:eastAsia="zh-CN"/>
        </w:rPr>
        <w:t>3</w:t>
      </w:r>
      <w:r>
        <w:rPr>
          <w:rFonts w:hint="eastAsia" w:ascii="Times New Roman" w:hAnsi="Times New Roman" w:eastAsia="方正小标宋简体" w:cs="Times New Roman"/>
          <w:b w:val="0"/>
          <w:bCs w:val="0"/>
          <w:color w:val="auto"/>
          <w:sz w:val="44"/>
          <w:szCs w:val="44"/>
          <w:highlight w:val="none"/>
        </w:rPr>
        <w:t>年工作计划</w:t>
      </w:r>
      <w:r>
        <w:rPr>
          <w:rFonts w:hint="eastAsia" w:ascii="Times New Roman" w:hAnsi="Times New Roman" w:eastAsia="方正小标宋简体" w:cs="Times New Roman"/>
          <w:b w:val="0"/>
          <w:bCs w:val="0"/>
          <w:color w:val="auto"/>
          <w:sz w:val="44"/>
          <w:szCs w:val="44"/>
          <w:highlight w:val="none"/>
          <w:lang w:eastAsia="zh-CN"/>
        </w:rPr>
        <w:t>的通知</w:t>
      </w:r>
    </w:p>
    <w:p>
      <w:pPr>
        <w:pStyle w:val="9"/>
        <w:keepNext w:val="0"/>
        <w:keepLines w:val="0"/>
        <w:pageBreakBefore w:val="0"/>
        <w:kinsoku/>
        <w:wordWrap/>
        <w:overflowPunct/>
        <w:topLinePunct w:val="0"/>
        <w:autoSpaceDE/>
        <w:autoSpaceDN/>
        <w:bidi w:val="0"/>
        <w:spacing w:after="0" w:line="580" w:lineRule="exact"/>
        <w:ind w:left="0" w:leftChars="0" w:right="0"/>
        <w:jc w:val="both"/>
        <w:textAlignment w:val="auto"/>
        <w:rPr>
          <w:rFonts w:hint="eastAsia" w:ascii="Times New Roman" w:hAnsi="Times New Roman" w:eastAsia="方正小标宋简体" w:cs="Times New Roman"/>
          <w:b/>
          <w:bCs/>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局属各单位、局机关各科室：</w:t>
      </w:r>
    </w:p>
    <w:p>
      <w:pPr>
        <w:pStyle w:val="4"/>
        <w:keepNext w:val="0"/>
        <w:keepLines w:val="0"/>
        <w:pageBreakBefore w:val="0"/>
        <w:kinsoku/>
        <w:wordWrap/>
        <w:overflowPunct/>
        <w:topLinePunct w:val="0"/>
        <w:autoSpaceDE/>
        <w:autoSpaceDN/>
        <w:bidi w:val="0"/>
        <w:spacing w:after="0" w:afterLines="0" w:line="580" w:lineRule="exact"/>
        <w:ind w:left="0" w:leftChars="0" w:right="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现将《南安市交通运输局202</w:t>
      </w:r>
      <w:r>
        <w:rPr>
          <w:rFonts w:hint="eastAsia" w:ascii="Times New Roman" w:hAnsi="Times New Roman" w:cs="Times New Roman"/>
          <w:color w:val="auto"/>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val="en-US" w:eastAsia="zh-CN" w:bidi="ar-SA"/>
        </w:rPr>
        <w:t>年工作计划》印发给你们，</w:t>
      </w:r>
      <w:r>
        <w:rPr>
          <w:rFonts w:hint="eastAsia" w:ascii="Times New Roman" w:hAnsi="Times New Roman" w:cs="Times New Roman"/>
          <w:color w:val="auto"/>
          <w:kern w:val="2"/>
          <w:sz w:val="32"/>
          <w:szCs w:val="32"/>
          <w:highlight w:val="none"/>
          <w:lang w:val="en-US" w:eastAsia="zh-CN" w:bidi="ar-SA"/>
        </w:rPr>
        <w:t>请根据本工作计划，认真组织</w:t>
      </w:r>
      <w:r>
        <w:rPr>
          <w:rFonts w:hint="eastAsia" w:ascii="Times New Roman" w:hAnsi="Times New Roman" w:eastAsia="仿宋_GB2312" w:cs="Times New Roman"/>
          <w:color w:val="auto"/>
          <w:kern w:val="2"/>
          <w:sz w:val="32"/>
          <w:szCs w:val="32"/>
          <w:highlight w:val="none"/>
          <w:lang w:val="en-US" w:eastAsia="zh-CN" w:bidi="ar-SA"/>
        </w:rPr>
        <w:t>抓好落实。</w:t>
      </w:r>
    </w:p>
    <w:p>
      <w:pPr>
        <w:keepNext w:val="0"/>
        <w:keepLines w:val="0"/>
        <w:pageBreakBefore w:val="0"/>
        <w:kinsoku/>
        <w:wordWrap/>
        <w:overflowPunct/>
        <w:topLinePunct w:val="0"/>
        <w:autoSpaceDE/>
        <w:autoSpaceDN/>
        <w:bidi w:val="0"/>
        <w:spacing w:line="580" w:lineRule="exact"/>
        <w:ind w:left="0" w:leftChars="0" w:right="0"/>
        <w:jc w:val="both"/>
        <w:textAlignment w:val="auto"/>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 xml:space="preserve">         </w:t>
      </w:r>
    </w:p>
    <w:p>
      <w:pPr>
        <w:pStyle w:val="4"/>
        <w:keepNext w:val="0"/>
        <w:keepLines w:val="0"/>
        <w:pageBreakBefore w:val="0"/>
        <w:kinsoku/>
        <w:wordWrap/>
        <w:overflowPunct/>
        <w:topLinePunct w:val="0"/>
        <w:autoSpaceDE/>
        <w:autoSpaceDN/>
        <w:bidi w:val="0"/>
        <w:spacing w:after="0" w:afterLines="0" w:line="580" w:lineRule="exact"/>
        <w:ind w:left="0" w:leftChars="0" w:right="0" w:firstLine="0" w:firstLineChars="0"/>
        <w:jc w:val="both"/>
        <w:textAlignment w:val="auto"/>
        <w:rPr>
          <w:rFonts w:hint="eastAsia" w:ascii="Times New Roman" w:hAnsi="Times New Roman"/>
          <w:color w:val="auto"/>
          <w:highlight w:val="none"/>
        </w:rPr>
      </w:pPr>
    </w:p>
    <w:p>
      <w:pPr>
        <w:keepNext w:val="0"/>
        <w:keepLines w:val="0"/>
        <w:pageBreakBefore w:val="0"/>
        <w:kinsoku/>
        <w:wordWrap/>
        <w:overflowPunct/>
        <w:topLinePunct w:val="0"/>
        <w:autoSpaceDE/>
        <w:autoSpaceDN/>
        <w:bidi w:val="0"/>
        <w:spacing w:line="580" w:lineRule="exact"/>
        <w:ind w:right="0" w:firstLine="5120" w:firstLineChars="1600"/>
        <w:jc w:val="both"/>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南安市交通运输</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 xml:space="preserve">局 </w:t>
      </w:r>
    </w:p>
    <w:p>
      <w:pPr>
        <w:keepNext w:val="0"/>
        <w:keepLines w:val="0"/>
        <w:pageBreakBefore w:val="0"/>
        <w:kinsoku/>
        <w:wordWrap/>
        <w:overflowPunct/>
        <w:topLinePunct w:val="0"/>
        <w:autoSpaceDE/>
        <w:autoSpaceDN/>
        <w:bidi w:val="0"/>
        <w:spacing w:line="580" w:lineRule="exact"/>
        <w:ind w:left="0" w:leftChars="0" w:right="0"/>
        <w:jc w:val="both"/>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eastAsia" w:ascii="Times New Roman" w:hAnsi="Times New Roman" w:eastAsia="仿宋_GB2312" w:cs="Times New Roman"/>
          <w:b w:val="0"/>
          <w:bCs w:val="0"/>
          <w:color w:val="auto"/>
          <w:kern w:val="2"/>
          <w:sz w:val="32"/>
          <w:szCs w:val="32"/>
          <w:highlight w:val="none"/>
          <w:u w:val="none" w:color="auto"/>
          <w:lang w:val="en-US" w:eastAsia="zh-CN" w:bidi="ar-SA"/>
        </w:rPr>
        <w:t xml:space="preserve">                                 </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20</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23</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年</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2</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月</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2</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日</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 xml:space="preserve"> </w:t>
      </w:r>
    </w:p>
    <w:p>
      <w:pPr>
        <w:keepNext w:val="0"/>
        <w:keepLines w:val="0"/>
        <w:pageBreakBefore w:val="0"/>
        <w:widowControl/>
        <w:kinsoku/>
        <w:wordWrap/>
        <w:overflowPunct/>
        <w:topLinePunct w:val="0"/>
        <w:autoSpaceDE/>
        <w:autoSpaceDN/>
        <w:bidi w:val="0"/>
        <w:spacing w:line="580" w:lineRule="exact"/>
        <w:ind w:left="0" w:leftChars="0" w:right="0" w:firstLine="537" w:firstLineChars="168"/>
        <w:jc w:val="both"/>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eastAsia" w:ascii="Times New Roman" w:hAnsi="Times New Roman" w:eastAsia="仿宋_GB2312" w:cs="Times New Roman"/>
          <w:b w:val="0"/>
          <w:bCs w:val="0"/>
          <w:color w:val="auto"/>
          <w:kern w:val="2"/>
          <w:sz w:val="32"/>
          <w:szCs w:val="32"/>
          <w:highlight w:val="none"/>
          <w:u w:val="none" w:color="auto"/>
          <w:lang w:val="en-US" w:eastAsia="zh-CN" w:bidi="ar-SA"/>
        </w:rPr>
        <w:t>（此件主动公开）</w:t>
      </w:r>
    </w:p>
    <w:p>
      <w:pPr>
        <w:rPr>
          <w:rFonts w:hint="eastAsia" w:ascii="Times New Roman" w:hAnsi="Times New Roman"/>
          <w:color w:val="auto"/>
          <w:highlight w:val="none"/>
        </w:rPr>
      </w:pPr>
    </w:p>
    <w:p>
      <w:pPr>
        <w:pStyle w:val="2"/>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南安市交通运输局2023年工作计划</w:t>
      </w:r>
    </w:p>
    <w:p>
      <w:pPr>
        <w:pStyle w:val="9"/>
        <w:keepNext w:val="0"/>
        <w:keepLines w:val="0"/>
        <w:pageBreakBefore w:val="0"/>
        <w:kinsoku/>
        <w:wordWrap/>
        <w:overflowPunct/>
        <w:topLinePunct w:val="0"/>
        <w:autoSpaceDE/>
        <w:autoSpaceDN/>
        <w:bidi w:val="0"/>
        <w:spacing w:after="0" w:line="560" w:lineRule="exact"/>
        <w:ind w:left="0" w:leftChars="0" w:right="0"/>
        <w:jc w:val="both"/>
        <w:textAlignment w:val="auto"/>
        <w:rPr>
          <w:rFonts w:hint="eastAsia" w:ascii="Times New Roman" w:hAnsi="Times New Roman"/>
          <w:color w:val="auto"/>
          <w:highlight w:val="none"/>
          <w:lang w:val="en-US" w:eastAsia="zh-CN"/>
        </w:rPr>
      </w:pPr>
    </w:p>
    <w:p>
      <w:pPr>
        <w:pStyle w:val="4"/>
        <w:keepNext w:val="0"/>
        <w:keepLines w:val="0"/>
        <w:pageBreakBefore w:val="0"/>
        <w:widowControl w:val="0"/>
        <w:kinsoku/>
        <w:wordWrap/>
        <w:overflowPunct/>
        <w:topLinePunct w:val="0"/>
        <w:autoSpaceDE/>
        <w:autoSpaceDN/>
        <w:bidi w:val="0"/>
        <w:spacing w:after="0" w:afterLines="0" w:line="560" w:lineRule="exact"/>
        <w:ind w:left="0" w:leftChars="0" w:right="0" w:firstLine="640" w:firstLineChars="200"/>
        <w:jc w:val="both"/>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一、总体要求</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仿宋_GB2312" w:cs="Times New Roman"/>
          <w:b w:val="0"/>
          <w:bCs w:val="0"/>
          <w:color w:val="auto"/>
          <w:sz w:val="32"/>
          <w:szCs w:val="32"/>
          <w:highlight w:val="none"/>
          <w:u w:val="none" w:color="auto"/>
          <w:lang w:eastAsia="zh-CN"/>
        </w:rPr>
        <w:t>202</w:t>
      </w:r>
      <w:r>
        <w:rPr>
          <w:rFonts w:hint="eastAsia" w:ascii="Times New Roman" w:hAnsi="Times New Roman" w:eastAsia="仿宋_GB2312" w:cs="Times New Roman"/>
          <w:b w:val="0"/>
          <w:bCs w:val="0"/>
          <w:color w:val="auto"/>
          <w:sz w:val="32"/>
          <w:szCs w:val="32"/>
          <w:highlight w:val="none"/>
          <w:u w:val="none" w:color="auto"/>
          <w:lang w:val="en-US" w:eastAsia="zh-CN"/>
        </w:rPr>
        <w:t>3</w:t>
      </w:r>
      <w:r>
        <w:rPr>
          <w:rFonts w:hint="default" w:ascii="Times New Roman" w:hAnsi="Times New Roman" w:eastAsia="仿宋_GB2312" w:cs="Times New Roman"/>
          <w:b w:val="0"/>
          <w:bCs w:val="0"/>
          <w:color w:val="auto"/>
          <w:sz w:val="32"/>
          <w:szCs w:val="32"/>
          <w:highlight w:val="none"/>
          <w:u w:val="none" w:color="auto"/>
          <w:lang w:eastAsia="zh-CN"/>
        </w:rPr>
        <w:t>年是全面</w:t>
      </w:r>
      <w:r>
        <w:rPr>
          <w:rFonts w:hint="eastAsia" w:ascii="Times New Roman" w:hAnsi="Times New Roman" w:eastAsia="仿宋_GB2312" w:cs="Times New Roman"/>
          <w:b w:val="0"/>
          <w:bCs w:val="0"/>
          <w:color w:val="auto"/>
          <w:sz w:val="32"/>
          <w:szCs w:val="32"/>
          <w:highlight w:val="none"/>
          <w:u w:val="none" w:color="auto"/>
          <w:lang w:eastAsia="zh-CN"/>
        </w:rPr>
        <w:t>贯彻落实党的二十大精神的开局之年</w:t>
      </w:r>
      <w:r>
        <w:rPr>
          <w:rFonts w:hint="default" w:ascii="Times New Roman" w:hAnsi="Times New Roman" w:eastAsia="仿宋_GB2312" w:cs="Times New Roman"/>
          <w:b w:val="0"/>
          <w:bCs w:val="0"/>
          <w:color w:val="auto"/>
          <w:sz w:val="32"/>
          <w:szCs w:val="32"/>
          <w:highlight w:val="none"/>
          <w:u w:val="none" w:color="auto"/>
          <w:lang w:eastAsia="zh-CN"/>
        </w:rPr>
        <w:t>，是</w:t>
      </w:r>
      <w:r>
        <w:rPr>
          <w:rFonts w:hint="eastAsia" w:ascii="Times New Roman" w:hAnsi="Times New Roman" w:eastAsia="仿宋_GB2312" w:cs="Times New Roman"/>
          <w:b w:val="0"/>
          <w:bCs w:val="0"/>
          <w:color w:val="auto"/>
          <w:sz w:val="32"/>
          <w:szCs w:val="32"/>
          <w:highlight w:val="none"/>
          <w:u w:val="none" w:color="auto"/>
          <w:lang w:eastAsia="zh-CN"/>
        </w:rPr>
        <w:t>实施“十四五”规划承上启下的关键一年</w:t>
      </w:r>
      <w:r>
        <w:rPr>
          <w:rFonts w:hint="default" w:ascii="Times New Roman" w:hAnsi="Times New Roman" w:eastAsia="仿宋_GB2312" w:cs="Times New Roman"/>
          <w:b w:val="0"/>
          <w:bCs w:val="0"/>
          <w:color w:val="auto"/>
          <w:sz w:val="32"/>
          <w:szCs w:val="32"/>
          <w:highlight w:val="none"/>
          <w:u w:val="none" w:color="auto"/>
          <w:lang w:eastAsia="zh-CN"/>
        </w:rPr>
        <w:t>。</w:t>
      </w:r>
      <w:r>
        <w:rPr>
          <w:rFonts w:ascii="Times New Roman" w:hAnsi="Times New Roman" w:eastAsia="仿宋_GB2312"/>
          <w:color w:val="auto"/>
          <w:sz w:val="32"/>
          <w:szCs w:val="32"/>
          <w:highlight w:val="none"/>
        </w:rPr>
        <w:t>全市交通运输工作</w:t>
      </w:r>
      <w:r>
        <w:rPr>
          <w:rFonts w:hint="default" w:ascii="Times New Roman" w:hAnsi="Times New Roman" w:eastAsia="仿宋_GB2312" w:cs="Times New Roman"/>
          <w:b w:val="0"/>
          <w:bCs w:val="0"/>
          <w:color w:val="auto"/>
          <w:sz w:val="32"/>
          <w:szCs w:val="32"/>
          <w:highlight w:val="none"/>
          <w:u w:val="none" w:color="auto"/>
          <w:lang w:eastAsia="zh-CN"/>
        </w:rPr>
        <w:t>要按照市委市政府工作部署，以习近平新时代中国特色社会主义思想为指导，全面贯彻落实党的</w:t>
      </w:r>
      <w:r>
        <w:rPr>
          <w:rFonts w:hint="eastAsia" w:ascii="Times New Roman" w:hAnsi="Times New Roman" w:eastAsia="仿宋_GB2312" w:cs="Times New Roman"/>
          <w:b w:val="0"/>
          <w:bCs w:val="0"/>
          <w:color w:val="auto"/>
          <w:sz w:val="32"/>
          <w:szCs w:val="32"/>
          <w:highlight w:val="none"/>
          <w:u w:val="none" w:color="auto"/>
          <w:lang w:eastAsia="zh-CN"/>
        </w:rPr>
        <w:t>二十大精神</w:t>
      </w:r>
      <w:r>
        <w:rPr>
          <w:rFonts w:hint="default" w:ascii="Times New Roman" w:hAnsi="Times New Roman" w:eastAsia="仿宋_GB2312" w:cs="Times New Roman"/>
          <w:b w:val="0"/>
          <w:bCs w:val="0"/>
          <w:color w:val="auto"/>
          <w:sz w:val="32"/>
          <w:szCs w:val="32"/>
          <w:highlight w:val="none"/>
          <w:u w:val="none" w:color="auto"/>
          <w:lang w:eastAsia="zh-CN"/>
        </w:rPr>
        <w:t>，</w:t>
      </w:r>
      <w:r>
        <w:rPr>
          <w:rFonts w:hint="eastAsia" w:ascii="Times New Roman" w:hAnsi="Times New Roman" w:eastAsia="仿宋_GB2312" w:cs="Times New Roman"/>
          <w:b w:val="0"/>
          <w:bCs w:val="0"/>
          <w:color w:val="auto"/>
          <w:sz w:val="32"/>
          <w:szCs w:val="32"/>
          <w:highlight w:val="none"/>
          <w:u w:val="none" w:color="auto"/>
          <w:lang w:eastAsia="zh-CN"/>
        </w:rPr>
        <w:t>全面贯彻新发展理念，服务和融入新发展格局，突出立体综合，突出提质增效，突出优化结构，突出安全可靠，全方位推进高</w:t>
      </w:r>
      <w:r>
        <w:rPr>
          <w:rFonts w:hint="default" w:ascii="Times New Roman" w:hAnsi="Times New Roman" w:eastAsia="仿宋_GB2312" w:cs="Times New Roman"/>
          <w:b w:val="0"/>
          <w:bCs w:val="0"/>
          <w:color w:val="auto"/>
          <w:sz w:val="32"/>
          <w:szCs w:val="32"/>
          <w:highlight w:val="none"/>
          <w:u w:val="none" w:color="auto"/>
          <w:lang w:eastAsia="zh-CN"/>
        </w:rPr>
        <w:t>质量发展</w:t>
      </w:r>
      <w:r>
        <w:rPr>
          <w:rFonts w:hint="eastAsia" w:ascii="Times New Roman" w:hAnsi="Times New Roman" w:eastAsia="仿宋_GB2312" w:cs="Times New Roman"/>
          <w:b w:val="0"/>
          <w:bCs w:val="0"/>
          <w:color w:val="auto"/>
          <w:sz w:val="32"/>
          <w:szCs w:val="32"/>
          <w:highlight w:val="none"/>
          <w:u w:val="none" w:color="auto"/>
          <w:lang w:eastAsia="zh-CN"/>
        </w:rPr>
        <w:t>，为加快建设南安交通强市当好开路先锋。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二</w:t>
      </w:r>
      <w:r>
        <w:rPr>
          <w:rFonts w:ascii="Times New Roman" w:hAnsi="Times New Roman" w:eastAsia="黑体" w:cs="Times New Roman"/>
          <w:color w:val="auto"/>
          <w:sz w:val="32"/>
          <w:szCs w:val="32"/>
          <w:highlight w:val="none"/>
        </w:rPr>
        <w:t>、主要预期目标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color w:val="auto"/>
          <w:sz w:val="32"/>
          <w:szCs w:val="32"/>
          <w:highlight w:val="none"/>
        </w:rPr>
      </w:pPr>
      <w:bookmarkStart w:id="0" w:name="OLE_LINK6"/>
      <w:bookmarkStart w:id="1" w:name="OLE_LINK2"/>
      <w:r>
        <w:rPr>
          <w:rFonts w:hint="eastAsia" w:ascii="Times New Roman" w:hAnsi="Times New Roman" w:eastAsia="仿宋_GB2312" w:cs="Times New Roman"/>
          <w:color w:val="auto"/>
          <w:sz w:val="32"/>
          <w:szCs w:val="32"/>
          <w:highlight w:val="none"/>
        </w:rPr>
        <w:t>全市</w:t>
      </w:r>
      <w:r>
        <w:rPr>
          <w:rFonts w:hint="eastAsia" w:ascii="Times New Roman" w:hAnsi="Times New Roman" w:eastAsia="仿宋_GB2312"/>
          <w:color w:val="auto"/>
          <w:sz w:val="32"/>
          <w:szCs w:val="32"/>
          <w:highlight w:val="none"/>
        </w:rPr>
        <w:t>计划</w:t>
      </w:r>
      <w:r>
        <w:rPr>
          <w:rFonts w:hint="eastAsia" w:ascii="Times New Roman" w:hAnsi="Times New Roman" w:eastAsia="仿宋_GB2312" w:cs="Times New Roman"/>
          <w:color w:val="auto"/>
          <w:sz w:val="32"/>
          <w:szCs w:val="32"/>
          <w:highlight w:val="none"/>
        </w:rPr>
        <w:t>实施道路交通项目</w:t>
      </w:r>
      <w:r>
        <w:rPr>
          <w:rFonts w:hint="eastAsia" w:ascii="Times New Roman" w:hAnsi="Times New Roman" w:eastAsia="仿宋_GB2312" w:cs="Times New Roman"/>
          <w:color w:val="auto"/>
          <w:sz w:val="32"/>
          <w:szCs w:val="32"/>
          <w:highlight w:val="none"/>
          <w:lang w:val="en-US" w:eastAsia="zh-CN"/>
        </w:rPr>
        <w:t>57</w:t>
      </w:r>
      <w:r>
        <w:rPr>
          <w:rFonts w:hint="eastAsia" w:ascii="Times New Roman" w:hAnsi="Times New Roman" w:eastAsia="仿宋_GB2312" w:cs="Times New Roman"/>
          <w:color w:val="auto"/>
          <w:sz w:val="32"/>
          <w:szCs w:val="32"/>
          <w:highlight w:val="none"/>
        </w:rPr>
        <w:t>个</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olor w:val="auto"/>
          <w:sz w:val="32"/>
          <w:szCs w:val="32"/>
          <w:highlight w:val="none"/>
        </w:rPr>
        <w:t>完成基建投资</w:t>
      </w:r>
      <w:r>
        <w:rPr>
          <w:rFonts w:hint="eastAsia" w:ascii="Times New Roman" w:hAnsi="Times New Roman" w:eastAsia="仿宋_GB2312"/>
          <w:color w:val="auto"/>
          <w:sz w:val="32"/>
          <w:szCs w:val="32"/>
          <w:highlight w:val="none"/>
          <w:lang w:val="en-US" w:eastAsia="zh-CN"/>
        </w:rPr>
        <w:t>39.36</w:t>
      </w:r>
      <w:r>
        <w:rPr>
          <w:rFonts w:hint="eastAsia" w:ascii="Times New Roman" w:hAnsi="Times New Roman" w:eastAsia="仿宋_GB2312"/>
          <w:color w:val="auto"/>
          <w:sz w:val="32"/>
          <w:szCs w:val="32"/>
          <w:highlight w:val="none"/>
        </w:rPr>
        <w:t>亿元</w:t>
      </w:r>
      <w:bookmarkEnd w:id="0"/>
      <w:bookmarkEnd w:id="1"/>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kern w:val="0"/>
          <w:sz w:val="32"/>
          <w:szCs w:val="32"/>
          <w:highlight w:val="none"/>
        </w:rPr>
        <w:t>完成公路运输总周转量比增</w:t>
      </w:r>
      <w:r>
        <w:rPr>
          <w:rFonts w:hint="eastAsia" w:ascii="Times New Roman" w:hAnsi="Times New Roman" w:eastAsia="仿宋_GB2312"/>
          <w:color w:val="auto"/>
          <w:kern w:val="0"/>
          <w:sz w:val="32"/>
          <w:szCs w:val="32"/>
          <w:highlight w:val="none"/>
          <w:lang w:val="en-US" w:eastAsia="zh-CN"/>
        </w:rPr>
        <w:t>4</w:t>
      </w:r>
      <w:r>
        <w:rPr>
          <w:rFonts w:hint="eastAsia" w:ascii="Times New Roman" w:hAnsi="Times New Roman" w:eastAsia="仿宋_GB2312"/>
          <w:color w:val="auto"/>
          <w:kern w:val="0"/>
          <w:sz w:val="32"/>
          <w:szCs w:val="32"/>
          <w:highlight w:val="none"/>
        </w:rPr>
        <w:t>%，计划完成水路运输总周转量比增</w:t>
      </w:r>
      <w:r>
        <w:rPr>
          <w:rFonts w:hint="eastAsia" w:ascii="Times New Roman" w:hAnsi="Times New Roman" w:eastAsia="仿宋_GB2312"/>
          <w:color w:val="auto"/>
          <w:kern w:val="0"/>
          <w:sz w:val="32"/>
          <w:szCs w:val="32"/>
          <w:highlight w:val="none"/>
          <w:lang w:val="en-US" w:eastAsia="zh-CN"/>
        </w:rPr>
        <w:t>8</w:t>
      </w:r>
      <w:r>
        <w:rPr>
          <w:rFonts w:hint="eastAsia" w:ascii="Times New Roman" w:hAnsi="Times New Roman" w:eastAsia="仿宋_GB2312"/>
          <w:color w:val="auto"/>
          <w:kern w:val="0"/>
          <w:sz w:val="32"/>
          <w:szCs w:val="32"/>
          <w:highlight w:val="none"/>
        </w:rPr>
        <w:t>%；港口货物吞吐量计划完成</w:t>
      </w:r>
      <w:r>
        <w:rPr>
          <w:rFonts w:hint="eastAsia" w:ascii="Times New Roman" w:hAnsi="Times New Roman" w:eastAsia="仿宋_GB2312"/>
          <w:color w:val="auto"/>
          <w:kern w:val="0"/>
          <w:sz w:val="32"/>
          <w:szCs w:val="32"/>
          <w:highlight w:val="none"/>
          <w:lang w:val="en-US" w:eastAsia="zh-CN"/>
        </w:rPr>
        <w:t>1000</w:t>
      </w:r>
      <w:r>
        <w:rPr>
          <w:rFonts w:hint="eastAsia" w:ascii="Times New Roman" w:hAnsi="Times New Roman" w:eastAsia="仿宋_GB2312"/>
          <w:color w:val="auto"/>
          <w:kern w:val="0"/>
          <w:sz w:val="32"/>
          <w:szCs w:val="32"/>
          <w:highlight w:val="none"/>
        </w:rPr>
        <w:t>万吨。</w:t>
      </w:r>
      <w:r>
        <w:rPr>
          <w:rFonts w:hint="eastAsia" w:ascii="Times New Roman" w:hAnsi="Times New Roman" w:eastAsia="仿宋_GB2312" w:cs="Times New Roman"/>
          <w:color w:val="auto"/>
          <w:sz w:val="32"/>
          <w:szCs w:val="32"/>
          <w:highlight w:val="none"/>
        </w:rPr>
        <w:t>努力实现道路运输事故起数、死亡人数、受伤人数三项指标明显下降，杜绝较大</w:t>
      </w:r>
      <w:r>
        <w:rPr>
          <w:rFonts w:hint="eastAsia" w:ascii="Times New Roman" w:hAnsi="Times New Roman" w:eastAsia="仿宋_GB2312" w:cs="Times New Roman"/>
          <w:color w:val="auto"/>
          <w:sz w:val="32"/>
          <w:szCs w:val="32"/>
          <w:highlight w:val="none"/>
          <w:lang w:eastAsia="zh-CN"/>
        </w:rPr>
        <w:t>以上</w:t>
      </w:r>
      <w:r>
        <w:rPr>
          <w:rFonts w:hint="eastAsia" w:ascii="Times New Roman" w:hAnsi="Times New Roman" w:eastAsia="仿宋_GB2312" w:cs="Times New Roman"/>
          <w:color w:val="auto"/>
          <w:sz w:val="32"/>
          <w:szCs w:val="32"/>
          <w:highlight w:val="none"/>
        </w:rPr>
        <w:t>责任事故；火灾事故、内河交通、公路养护、工程建设零事故，为交通运输科学发展提供安全稳定的环境。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三</w:t>
      </w:r>
      <w:r>
        <w:rPr>
          <w:rFonts w:hint="eastAsia" w:ascii="Times New Roman" w:hAnsi="Times New Roman" w:eastAsia="黑体" w:cs="Times New Roman"/>
          <w:color w:val="auto"/>
          <w:sz w:val="32"/>
          <w:szCs w:val="32"/>
          <w:highlight w:val="none"/>
        </w:rPr>
        <w:t>、主要工作措施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楷体_GB2312" w:cs="Times New Roman"/>
          <w:bCs/>
          <w:color w:val="auto"/>
          <w:sz w:val="32"/>
          <w:szCs w:val="32"/>
          <w:highlight w:val="none"/>
          <w:lang w:eastAsia="zh-CN"/>
        </w:rPr>
      </w:pPr>
      <w:r>
        <w:rPr>
          <w:rFonts w:hint="eastAsia" w:ascii="Times New Roman" w:hAnsi="Times New Roman" w:eastAsia="楷体_GB2312" w:cs="Times New Roman"/>
          <w:bCs/>
          <w:color w:val="auto"/>
          <w:sz w:val="32"/>
          <w:szCs w:val="32"/>
          <w:highlight w:val="none"/>
        </w:rPr>
        <w:t>（一）</w:t>
      </w:r>
      <w:r>
        <w:rPr>
          <w:rFonts w:hint="eastAsia" w:ascii="Times New Roman" w:hAnsi="Times New Roman" w:eastAsia="楷体_GB2312" w:cs="Times New Roman"/>
          <w:bCs/>
          <w:color w:val="auto"/>
          <w:sz w:val="32"/>
          <w:szCs w:val="32"/>
          <w:highlight w:val="none"/>
          <w:lang w:eastAsia="zh-CN"/>
        </w:rPr>
        <w:t>加大项目攻坚力度，织密综合立体交通网络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color w:val="auto"/>
          <w:sz w:val="32"/>
          <w:szCs w:val="32"/>
          <w:highlight w:val="none"/>
        </w:rPr>
        <w:t>1.</w:t>
      </w:r>
      <w:r>
        <w:rPr>
          <w:rFonts w:hint="eastAsia" w:ascii="Times New Roman" w:hAnsi="Times New Roman" w:eastAsia="仿宋_GB2312" w:cs="Times New Roman"/>
          <w:b/>
          <w:color w:val="auto"/>
          <w:sz w:val="32"/>
          <w:szCs w:val="32"/>
          <w:highlight w:val="none"/>
          <w:lang w:eastAsia="zh-CN"/>
        </w:rPr>
        <w:t>高位系统</w:t>
      </w:r>
      <w:r>
        <w:rPr>
          <w:rFonts w:hint="eastAsia" w:ascii="Times New Roman" w:hAnsi="Times New Roman" w:eastAsia="仿宋_GB2312" w:cs="Times New Roman"/>
          <w:b/>
          <w:color w:val="auto"/>
          <w:sz w:val="32"/>
          <w:szCs w:val="32"/>
          <w:highlight w:val="none"/>
          <w:lang w:val="en-US" w:eastAsia="zh-CN"/>
        </w:rPr>
        <w:t>谋划</w:t>
      </w:r>
      <w:r>
        <w:rPr>
          <w:rFonts w:hint="eastAsia" w:ascii="Times New Roman" w:hAnsi="Times New Roman" w:eastAsia="仿宋_GB2312" w:cs="Times New Roman"/>
          <w:b/>
          <w:color w:val="auto"/>
          <w:sz w:val="32"/>
          <w:szCs w:val="32"/>
          <w:highlight w:val="none"/>
        </w:rPr>
        <w:t>。</w:t>
      </w:r>
      <w:r>
        <w:rPr>
          <w:rFonts w:hint="eastAsia" w:ascii="Times New Roman" w:hAnsi="Times New Roman" w:eastAsia="仿宋_GB2312" w:cs="Times New Roman"/>
          <w:b w:val="0"/>
          <w:color w:val="auto"/>
          <w:kern w:val="2"/>
          <w:sz w:val="32"/>
          <w:szCs w:val="32"/>
          <w:highlight w:val="none"/>
          <w:lang w:val="en-US" w:eastAsia="zh-CN" w:bidi="ar-SA"/>
        </w:rPr>
        <w:t>紧扣《南安市“十四五”现代综合交</w:t>
      </w:r>
      <w:bookmarkStart w:id="4" w:name="_GoBack"/>
      <w:bookmarkEnd w:id="4"/>
      <w:r>
        <w:rPr>
          <w:rFonts w:hint="eastAsia" w:ascii="Times New Roman" w:hAnsi="Times New Roman" w:eastAsia="仿宋_GB2312" w:cs="Times New Roman"/>
          <w:b w:val="0"/>
          <w:color w:val="auto"/>
          <w:kern w:val="2"/>
          <w:sz w:val="32"/>
          <w:szCs w:val="32"/>
          <w:highlight w:val="none"/>
          <w:lang w:val="en-US" w:eastAsia="zh-CN" w:bidi="ar-SA"/>
        </w:rPr>
        <w:t>通运输体系专项规划》《南安市“交通强市”实施规划（2020-2025年）》，以联网、补网、强链为重点，加快补齐交通基础设施短板。加强政策研究和沟通对接，提升项目谋划生成能力，抓好对外交通、市域交通、市区交通建设，</w:t>
      </w:r>
      <w:r>
        <w:rPr>
          <w:rFonts w:hint="default" w:ascii="Times New Roman" w:hAnsi="Times New Roman" w:eastAsia="仿宋_GB2312" w:cs="Times New Roman"/>
          <w:color w:val="auto"/>
          <w:kern w:val="2"/>
          <w:sz w:val="32"/>
          <w:szCs w:val="32"/>
          <w:highlight w:val="none"/>
          <w:lang w:val="en-US" w:eastAsia="zh-CN" w:bidi="ar-SA"/>
        </w:rPr>
        <w:t>持续扩大交通有效投资，</w:t>
      </w:r>
      <w:r>
        <w:rPr>
          <w:rFonts w:hint="eastAsia" w:ascii="Times New Roman" w:hAnsi="Times New Roman" w:eastAsia="仿宋_GB2312" w:cs="Times New Roman"/>
          <w:b w:val="0"/>
          <w:color w:val="auto"/>
          <w:kern w:val="2"/>
          <w:sz w:val="32"/>
          <w:szCs w:val="32"/>
          <w:highlight w:val="none"/>
          <w:lang w:val="en-US" w:eastAsia="zh-CN" w:bidi="ar-SA"/>
        </w:rPr>
        <w:t>争取更多项目列入项目盘子，</w:t>
      </w:r>
      <w:r>
        <w:rPr>
          <w:rFonts w:hint="default" w:ascii="Times New Roman" w:hAnsi="Times New Roman" w:eastAsia="仿宋_GB2312" w:cs="Times New Roman"/>
          <w:color w:val="auto"/>
          <w:kern w:val="2"/>
          <w:sz w:val="32"/>
          <w:szCs w:val="32"/>
          <w:highlight w:val="none"/>
          <w:lang w:val="en-US" w:eastAsia="zh-CN" w:bidi="ar-SA"/>
        </w:rPr>
        <w:t>形成梯次推进、滚动发展的交通项目建设格局，</w:t>
      </w:r>
      <w:r>
        <w:rPr>
          <w:rFonts w:hint="eastAsia" w:ascii="Times New Roman" w:hAnsi="Times New Roman" w:eastAsia="仿宋_GB2312" w:cs="Times New Roman"/>
          <w:b w:val="0"/>
          <w:color w:val="auto"/>
          <w:kern w:val="2"/>
          <w:sz w:val="32"/>
          <w:szCs w:val="32"/>
          <w:highlight w:val="none"/>
          <w:lang w:val="en-US" w:eastAsia="zh-CN" w:bidi="ar-SA"/>
        </w:rPr>
        <w:t>构建“成环成网、外快内畅”交通体系。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Times New Roman"/>
          <w:b/>
          <w:color w:val="auto"/>
          <w:sz w:val="32"/>
          <w:szCs w:val="32"/>
          <w:highlight w:val="none"/>
          <w:lang w:val="en-US" w:eastAsia="zh-CN"/>
        </w:rPr>
        <w:t>2.强化项目攻坚</w:t>
      </w:r>
      <w:r>
        <w:rPr>
          <w:rFonts w:hint="eastAsia"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强化“项目为王、项目为基”理念，</w:t>
      </w:r>
      <w:r>
        <w:rPr>
          <w:rFonts w:hint="eastAsia" w:ascii="Times New Roman" w:hAnsi="Times New Roman" w:eastAsia="仿宋_GB2312" w:cs="Times New Roman"/>
          <w:color w:val="auto"/>
          <w:kern w:val="2"/>
          <w:sz w:val="32"/>
          <w:szCs w:val="32"/>
          <w:highlight w:val="none"/>
          <w:lang w:val="en-US" w:eastAsia="zh-CN" w:bidi="ar-SA"/>
        </w:rPr>
        <w:t>深入推进全市“项目奋战年”活动，持续实施“抓城建提品质”专项行动，加快实施“聚城畅通”工程，紧紧围绕年度交通投资目标，</w:t>
      </w:r>
      <w:bookmarkStart w:id="2" w:name="OLE_LINK3"/>
      <w:r>
        <w:rPr>
          <w:rFonts w:hint="eastAsia" w:ascii="Times New Roman" w:hAnsi="Times New Roman" w:eastAsia="仿宋_GB2312" w:cs="Times New Roman"/>
          <w:color w:val="auto"/>
          <w:kern w:val="2"/>
          <w:sz w:val="32"/>
          <w:szCs w:val="32"/>
          <w:highlight w:val="none"/>
          <w:lang w:val="en-US" w:eastAsia="zh-CN" w:bidi="ar-SA"/>
        </w:rPr>
        <w:t>加大项目攻坚力度，力促综合交通提级扩能。</w:t>
      </w:r>
      <w:bookmarkEnd w:id="2"/>
      <w:r>
        <w:rPr>
          <w:rFonts w:hint="eastAsia" w:ascii="Times New Roman" w:hAnsi="Times New Roman" w:eastAsia="仿宋_GB2312" w:cs="仿宋_GB2312"/>
          <w:b/>
          <w:bCs/>
          <w:color w:val="auto"/>
          <w:kern w:val="2"/>
          <w:sz w:val="32"/>
          <w:szCs w:val="32"/>
          <w:highlight w:val="none"/>
          <w:lang w:val="en-US" w:eastAsia="zh-CN" w:bidi="ar-SA"/>
        </w:rPr>
        <w:t>高速公路</w:t>
      </w:r>
      <w:r>
        <w:rPr>
          <w:rFonts w:hint="eastAsia" w:ascii="Times New Roman" w:hAnsi="Times New Roman" w:eastAsia="仿宋_GB2312" w:cs="仿宋_GB2312"/>
          <w:color w:val="auto"/>
          <w:kern w:val="2"/>
          <w:sz w:val="32"/>
          <w:szCs w:val="32"/>
          <w:highlight w:val="none"/>
          <w:lang w:val="en-US" w:eastAsia="zh-CN" w:bidi="ar-SA"/>
        </w:rPr>
        <w:t>配合泉州市沈海联络线泉（州）金（门）高速公路泉州段、沈海联络线泉（州）梅（州）高速公路泉州段、厦沙高速扩容工程泉州安溪至厦门翔安段等高速公路项目前期工作。</w:t>
      </w:r>
      <w:r>
        <w:rPr>
          <w:rFonts w:hint="eastAsia" w:ascii="Times New Roman" w:hAnsi="Times New Roman" w:eastAsia="仿宋_GB2312" w:cs="仿宋_GB2312"/>
          <w:b/>
          <w:bCs/>
          <w:color w:val="auto"/>
          <w:kern w:val="2"/>
          <w:sz w:val="32"/>
          <w:szCs w:val="32"/>
          <w:highlight w:val="none"/>
          <w:lang w:val="en-US" w:eastAsia="zh-CN" w:bidi="ar-SA"/>
        </w:rPr>
        <w:t>普通公路</w:t>
      </w:r>
      <w:r>
        <w:rPr>
          <w:rFonts w:hint="eastAsia" w:ascii="Times New Roman" w:hAnsi="Times New Roman" w:eastAsia="仿宋_GB2312" w:cs="仿宋_GB2312"/>
          <w:color w:val="auto"/>
          <w:kern w:val="2"/>
          <w:sz w:val="32"/>
          <w:szCs w:val="32"/>
          <w:highlight w:val="none"/>
          <w:lang w:val="en-US" w:eastAsia="zh-CN" w:bidi="ar-SA"/>
        </w:rPr>
        <w:t>县道335复线一期工程、洪濑大桥改造工程、横八线金淘过境段等项目建成；加快推进国道324改线水头段项目建设，开工建设国道358线柳城至仑苍公路工程、国道324线南安洪濑至霞美温山公路工程、国道324线南安霞美温山至官桥岭兜公路工程、国道324线南安官桥岭兜至水头新营公路工程、南安北互通至南安互通快速通道（北外二环）、加快柳城至霞美公路、罗东至洪濑公路、纵一线石井沿海外线（滨海大道）等项目前期工作。</w:t>
      </w:r>
      <w:r>
        <w:rPr>
          <w:rFonts w:hint="eastAsia" w:ascii="Times New Roman" w:hAnsi="Times New Roman" w:eastAsia="仿宋_GB2312" w:cs="Times New Roman"/>
          <w:b/>
          <w:bCs/>
          <w:color w:val="auto"/>
          <w:sz w:val="32"/>
          <w:szCs w:val="32"/>
          <w:highlight w:val="none"/>
          <w:lang w:eastAsia="zh-CN"/>
        </w:rPr>
        <w:t>客货</w:t>
      </w:r>
      <w:r>
        <w:rPr>
          <w:rFonts w:hint="eastAsia" w:ascii="Times New Roman" w:hAnsi="Times New Roman" w:eastAsia="仿宋_GB2312" w:cs="仿宋_GB2312"/>
          <w:b/>
          <w:bCs/>
          <w:color w:val="auto"/>
          <w:sz w:val="32"/>
          <w:szCs w:val="32"/>
          <w:highlight w:val="none"/>
        </w:rPr>
        <w:t>场站</w:t>
      </w:r>
      <w:r>
        <w:rPr>
          <w:rFonts w:hint="eastAsia" w:ascii="Times New Roman" w:hAnsi="Times New Roman" w:eastAsia="仿宋_GB2312" w:cs="仿宋_GB2312"/>
          <w:color w:val="auto"/>
          <w:sz w:val="32"/>
          <w:szCs w:val="32"/>
          <w:highlight w:val="none"/>
          <w:lang w:eastAsia="zh-CN"/>
        </w:rPr>
        <w:t>计划改建洪濑、诗山</w:t>
      </w:r>
      <w:r>
        <w:rPr>
          <w:rFonts w:hint="eastAsia" w:ascii="Times New Roman" w:hAnsi="Times New Roman" w:eastAsia="仿宋_GB2312" w:cs="仿宋_GB2312"/>
          <w:color w:val="auto"/>
          <w:sz w:val="32"/>
          <w:szCs w:val="32"/>
          <w:highlight w:val="none"/>
          <w:lang w:val="en-US" w:eastAsia="zh-CN"/>
        </w:rPr>
        <w:t>2个</w:t>
      </w:r>
      <w:r>
        <w:rPr>
          <w:rFonts w:hint="eastAsia" w:ascii="Times New Roman" w:hAnsi="Times New Roman" w:eastAsia="仿宋_GB2312" w:cs="仿宋_GB2312"/>
          <w:color w:val="auto"/>
          <w:sz w:val="32"/>
          <w:szCs w:val="32"/>
          <w:highlight w:val="none"/>
        </w:rPr>
        <w:t>乡镇综合运输服务站</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bidi="ar"/>
        </w:rPr>
        <w:t>港口码头</w:t>
      </w:r>
      <w:r>
        <w:rPr>
          <w:rFonts w:hint="eastAsia" w:ascii="Times New Roman" w:hAnsi="Times New Roman" w:eastAsia="仿宋_GB2312" w:cs="仿宋_GB2312"/>
          <w:color w:val="auto"/>
          <w:kern w:val="2"/>
          <w:sz w:val="32"/>
          <w:szCs w:val="32"/>
          <w:highlight w:val="none"/>
          <w:lang w:val="en-US" w:eastAsia="zh-CN" w:bidi="ar-SA"/>
        </w:rPr>
        <w:t>连片开发运营石井港区，加快11—12#、16—17#码头泊位建设。推进石井镇进港路延伸段工程，完成用地报批手续并基本完成所有施工内容。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color w:val="auto"/>
          <w:highlight w:val="none"/>
          <w:lang w:eastAsia="zh-CN"/>
        </w:rPr>
      </w:pPr>
      <w:r>
        <w:rPr>
          <w:rFonts w:hint="eastAsia" w:ascii="Times New Roman" w:hAnsi="Times New Roman" w:eastAsia="仿宋_GB2312" w:cs="Times New Roman"/>
          <w:b/>
          <w:color w:val="auto"/>
          <w:sz w:val="32"/>
          <w:szCs w:val="32"/>
          <w:highlight w:val="none"/>
        </w:rPr>
        <w:t>3.</w:t>
      </w:r>
      <w:r>
        <w:rPr>
          <w:rFonts w:hint="eastAsia" w:ascii="Times New Roman" w:hAnsi="Times New Roman" w:eastAsia="仿宋_GB2312" w:cs="Times New Roman"/>
          <w:b/>
          <w:color w:val="auto"/>
          <w:sz w:val="32"/>
          <w:szCs w:val="32"/>
          <w:highlight w:val="none"/>
          <w:lang w:val="en-US" w:eastAsia="zh-CN"/>
        </w:rPr>
        <w:t>落实</w:t>
      </w:r>
      <w:r>
        <w:rPr>
          <w:rFonts w:hint="eastAsia" w:ascii="Times New Roman" w:hAnsi="Times New Roman" w:eastAsia="仿宋_GB2312" w:cs="Times New Roman"/>
          <w:b/>
          <w:color w:val="auto"/>
          <w:sz w:val="32"/>
          <w:szCs w:val="32"/>
          <w:highlight w:val="none"/>
          <w:lang w:eastAsia="zh-CN"/>
        </w:rPr>
        <w:t>协调保障</w:t>
      </w:r>
      <w:r>
        <w:rPr>
          <w:rFonts w:hint="eastAsia" w:ascii="Times New Roman" w:hAnsi="Times New Roman" w:eastAsia="仿宋_GB2312" w:cs="Times New Roman"/>
          <w:b/>
          <w:color w:val="auto"/>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SA"/>
        </w:rPr>
        <w:t>推行项目全生命周期管理机制，推行重大项目前期工作路线图和模拟审批机制。</w:t>
      </w:r>
      <w:r>
        <w:rPr>
          <w:rFonts w:hint="eastAsia" w:ascii="Times New Roman" w:hAnsi="Times New Roman" w:eastAsia="仿宋_GB2312" w:cs="仿宋_GB2312"/>
          <w:color w:val="auto"/>
          <w:sz w:val="32"/>
          <w:szCs w:val="32"/>
          <w:highlight w:val="none"/>
          <w:lang w:eastAsia="zh-CN" w:bidi="ar"/>
        </w:rPr>
        <w:t>突破各类要素制约，强化预算资金绩效管理，创新投融资机制，对新规划项目探索整体打包一体化开发建设，继续引入社会资本投入，鼓励企业、民间资本广泛参与交通建设。加快项目征迁进度，把好政策，沟通指导，及时协调民事，全力落实无障碍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bookmarkStart w:id="3" w:name="OLE_LINK5"/>
      <w:r>
        <w:rPr>
          <w:rFonts w:hint="eastAsia" w:ascii="Times New Roman" w:hAnsi="Times New Roman" w:eastAsia="楷体_GB2312" w:cs="Times New Roman"/>
          <w:color w:val="auto"/>
          <w:sz w:val="32"/>
          <w:szCs w:val="32"/>
          <w:highlight w:val="none"/>
        </w:rPr>
        <w:t>（二）</w:t>
      </w:r>
      <w:r>
        <w:rPr>
          <w:rFonts w:hint="eastAsia" w:ascii="Times New Roman" w:hAnsi="Times New Roman" w:eastAsia="楷体_GB2312" w:cs="Times New Roman"/>
          <w:color w:val="auto"/>
          <w:sz w:val="32"/>
          <w:szCs w:val="32"/>
          <w:highlight w:val="none"/>
          <w:lang w:eastAsia="zh-CN"/>
        </w:rPr>
        <w:t>提升运输服务品质</w:t>
      </w:r>
      <w:r>
        <w:rPr>
          <w:rFonts w:hint="eastAsia" w:ascii="Times New Roman" w:hAnsi="Times New Roman" w:eastAsia="楷体_GB2312" w:cs="Times New Roman"/>
          <w:bCs/>
          <w:color w:val="auto"/>
          <w:sz w:val="32"/>
          <w:szCs w:val="32"/>
          <w:highlight w:val="none"/>
          <w:lang w:eastAsia="zh-CN"/>
        </w:rPr>
        <w:t>，优化供给满足民生需求</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
        </w:rPr>
      </w:pPr>
      <w:r>
        <w:rPr>
          <w:rFonts w:hint="eastAsia" w:ascii="Times New Roman" w:hAnsi="Times New Roman" w:eastAsia="仿宋_GB2312"/>
          <w:b/>
          <w:bCs/>
          <w:color w:val="auto"/>
          <w:sz w:val="32"/>
          <w:szCs w:val="32"/>
          <w:highlight w:val="none"/>
          <w:lang w:val="en-US" w:eastAsia="zh-CN"/>
        </w:rPr>
        <w:t>4.助力乡村振兴战略。</w:t>
      </w:r>
      <w:r>
        <w:rPr>
          <w:rFonts w:hint="eastAsia" w:ascii="Times New Roman" w:hAnsi="Times New Roman" w:eastAsia="仿宋_GB2312" w:cs="仿宋_GB2312"/>
          <w:color w:val="auto"/>
          <w:kern w:val="2"/>
          <w:sz w:val="32"/>
          <w:szCs w:val="32"/>
          <w:highlight w:val="none"/>
          <w:lang w:val="en-US" w:eastAsia="zh-CN" w:bidi="ar"/>
        </w:rPr>
        <w:t>持续提升农村路网等级，延伸通达深度，计划完成投资0.61亿元（其中养护专项工程计划投资3000万元），计划实施农村公路改造提升工程10公里(包括省级“以奖代补”建设项目、南安市级城乡品质提升建设项目)；计划实施农村公路安全生命防护工程22公里，农村公路养护专项工程30公里；为民办实事项目农村公路危桥改造5座。深化农村公路管养体制机制改革，继续推行“县道县管”制度，坚持农村公路“一季度一考评”。实施新一轮农村公路灾毁保险，全面组织开展乡村道路状况技术评定，农村公路优良中等路率保持85%以上，争创全省最美乡村“福”路。</w:t>
      </w:r>
    </w:p>
    <w:p>
      <w:pPr>
        <w:keepNext w:val="0"/>
        <w:keepLines w:val="0"/>
        <w:pageBreakBefore w:val="0"/>
        <w:widowControl w:val="0"/>
        <w:kinsoku/>
        <w:wordWrap/>
        <w:overflowPunct/>
        <w:topLinePunct w:val="0"/>
        <w:autoSpaceDE/>
        <w:autoSpaceDN/>
        <w:bidi w:val="0"/>
        <w:spacing w:line="560" w:lineRule="exact"/>
        <w:ind w:left="0" w:leftChars="0" w:right="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
        </w:rPr>
      </w:pPr>
      <w:r>
        <w:rPr>
          <w:rFonts w:hint="eastAsia" w:ascii="Times New Roman" w:hAnsi="Times New Roman" w:eastAsia="仿宋_GB2312" w:cs="仿宋_GB2312"/>
          <w:b/>
          <w:bCs/>
          <w:color w:val="auto"/>
          <w:kern w:val="2"/>
          <w:sz w:val="32"/>
          <w:szCs w:val="32"/>
          <w:highlight w:val="none"/>
          <w:lang w:val="en-US" w:eastAsia="zh-CN" w:bidi="ar"/>
        </w:rPr>
        <w:t>5.优先发展公共交通。</w:t>
      </w:r>
      <w:r>
        <w:rPr>
          <w:rFonts w:hint="eastAsia" w:ascii="Times New Roman" w:hAnsi="Times New Roman" w:eastAsia="仿宋_GB2312" w:cs="仿宋_GB2312"/>
          <w:color w:val="auto"/>
          <w:kern w:val="2"/>
          <w:sz w:val="32"/>
          <w:szCs w:val="32"/>
          <w:highlight w:val="none"/>
          <w:lang w:val="en-US" w:eastAsia="zh-CN" w:bidi="ar"/>
        </w:rPr>
        <w:t>加大对城市公交的扶持，加快老城区公交站亭智能化建设，优化出行服务体验，提升城市品质形象。争取采用基于成本规制定额补助方式，向市财政争取提高公交车辆运营亏损补贴，探索新增运营场站运营补贴，推动交旅融合发展，盘活站场、线路、车辆等资源，引导客运企业与旅游、供销、城市商贸等经营合作，发展定制公交、定制客运、“微循环”公交等多样化、个性化公共交通，计划新增优化公交线路1条。</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kern w:val="2"/>
          <w:sz w:val="32"/>
          <w:szCs w:val="32"/>
          <w:highlight w:val="none"/>
          <w:lang w:val="en-US" w:eastAsia="zh-CN" w:bidi="ar"/>
        </w:rPr>
        <w:t>6.推进城乡运输均等化。</w:t>
      </w:r>
      <w:r>
        <w:rPr>
          <w:rFonts w:hint="eastAsia" w:ascii="Times New Roman" w:hAnsi="Times New Roman" w:eastAsia="仿宋_GB2312" w:cs="仿宋_GB2312"/>
          <w:color w:val="auto"/>
          <w:kern w:val="2"/>
          <w:sz w:val="32"/>
          <w:szCs w:val="32"/>
          <w:highlight w:val="none"/>
          <w:lang w:val="en-US" w:eastAsia="zh-CN" w:bidi="ar"/>
        </w:rPr>
        <w:t>推进城乡运输一体化示范创建，推进城市公交线路向城区周边重点镇村延伸和农村客运公交化改造。</w:t>
      </w:r>
      <w:r>
        <w:rPr>
          <w:rFonts w:hint="eastAsia" w:ascii="Times New Roman" w:hAnsi="Times New Roman" w:eastAsia="仿宋" w:cs="仿宋"/>
          <w:color w:val="auto"/>
          <w:sz w:val="32"/>
          <w:szCs w:val="32"/>
          <w:highlight w:val="none"/>
          <w:lang w:eastAsia="zh-CN"/>
        </w:rPr>
        <w:t>巩固拓展村镇和建制村通客车成果，开展农村客运运营日常监测，争取出台</w:t>
      </w:r>
      <w:r>
        <w:rPr>
          <w:rFonts w:hint="eastAsia" w:ascii="Times New Roman" w:hAnsi="Times New Roman" w:eastAsia="仿宋" w:cs="仿宋"/>
          <w:color w:val="auto"/>
          <w:sz w:val="32"/>
          <w:szCs w:val="32"/>
          <w:highlight w:val="none"/>
        </w:rPr>
        <w:t>城乡客运一体化</w:t>
      </w:r>
      <w:r>
        <w:rPr>
          <w:rFonts w:hint="eastAsia" w:ascii="Times New Roman" w:hAnsi="Times New Roman" w:eastAsia="仿宋" w:cs="仿宋"/>
          <w:color w:val="auto"/>
          <w:sz w:val="32"/>
          <w:szCs w:val="32"/>
          <w:highlight w:val="none"/>
          <w:lang w:eastAsia="zh-CN"/>
        </w:rPr>
        <w:t>的</w:t>
      </w:r>
      <w:r>
        <w:rPr>
          <w:rFonts w:hint="eastAsia" w:ascii="Times New Roman" w:hAnsi="Times New Roman" w:eastAsia="仿宋" w:cs="仿宋"/>
          <w:color w:val="auto"/>
          <w:sz w:val="32"/>
          <w:szCs w:val="32"/>
          <w:highlight w:val="none"/>
        </w:rPr>
        <w:t>实施意见扶持政策</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_GB2312" w:cs="仿宋_GB2312"/>
          <w:color w:val="auto"/>
          <w:sz w:val="32"/>
          <w:szCs w:val="32"/>
          <w:highlight w:val="none"/>
        </w:rPr>
        <w:t>加强</w:t>
      </w:r>
      <w:r>
        <w:rPr>
          <w:rFonts w:hint="eastAsia" w:ascii="Times New Roman" w:hAnsi="Times New Roman" w:eastAsia="仿宋_GB2312" w:cs="仿宋_GB2312"/>
          <w:color w:val="auto"/>
          <w:sz w:val="32"/>
          <w:szCs w:val="32"/>
          <w:highlight w:val="none"/>
          <w:lang w:eastAsia="zh-CN"/>
        </w:rPr>
        <w:t>完善县乡村三级物流服务体系</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
        </w:rPr>
        <w:t>与邮政分公司共同筹措“交邮融合”</w:t>
      </w:r>
      <w:r>
        <w:rPr>
          <w:rFonts w:hint="eastAsia" w:ascii="Times New Roman" w:hAnsi="Times New Roman" w:eastAsia="仿宋_GB2312" w:cs="仿宋_GB2312"/>
          <w:color w:val="auto"/>
          <w:sz w:val="32"/>
          <w:szCs w:val="32"/>
          <w:highlight w:val="none"/>
        </w:rPr>
        <w:t>，按“合理分担、共同建设”的原则推进“客货邮融合”发展</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开通客货邮融合</w:t>
      </w:r>
      <w:r>
        <w:rPr>
          <w:rFonts w:hint="eastAsia" w:ascii="Times New Roman" w:hAnsi="Times New Roman" w:eastAsia="仿宋_GB2312" w:cs="仿宋_GB2312"/>
          <w:color w:val="auto"/>
          <w:sz w:val="32"/>
          <w:szCs w:val="32"/>
          <w:highlight w:val="none"/>
          <w:lang w:eastAsia="zh-CN"/>
        </w:rPr>
        <w:t>线路</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ascii="Times New Roman" w:hAnsi="Times New Roman"/>
          <w:color w:val="auto"/>
          <w:highlight w:val="none"/>
        </w:rPr>
      </w:pPr>
      <w:r>
        <w:rPr>
          <w:rFonts w:hint="eastAsia" w:ascii="Times New Roman" w:hAnsi="Times New Roman" w:eastAsia="仿宋_GB2312" w:cs="Times New Roman"/>
          <w:b/>
          <w:bCs/>
          <w:color w:val="auto"/>
          <w:sz w:val="32"/>
          <w:szCs w:val="32"/>
          <w:highlight w:val="none"/>
          <w:lang w:val="en-US" w:eastAsia="zh-CN"/>
        </w:rPr>
        <w:t>7.推动两岸交通融合发展。</w:t>
      </w:r>
      <w:r>
        <w:rPr>
          <w:rFonts w:hint="eastAsia" w:ascii="Times New Roman" w:hAnsi="Times New Roman" w:eastAsia="仿宋_GB2312" w:cs="Times New Roman"/>
          <w:color w:val="auto"/>
          <w:sz w:val="32"/>
          <w:szCs w:val="32"/>
          <w:highlight w:val="none"/>
          <w:lang w:val="en-US" w:eastAsia="zh-CN"/>
        </w:rPr>
        <w:t>扎实推进交通运输对台工作，做好客运复航各项工作。</w:t>
      </w:r>
      <w:r>
        <w:rPr>
          <w:rFonts w:hint="eastAsia" w:ascii="Times New Roman" w:hAnsi="Times New Roman" w:eastAsia="仿宋_GB2312" w:cs="Times New Roman"/>
          <w:color w:val="auto"/>
          <w:sz w:val="32"/>
          <w:szCs w:val="32"/>
          <w:highlight w:val="none"/>
        </w:rPr>
        <w:t>主动融入“丝路海运”，推动泉金“小三通”客运直航品牌提升和功能拓展，持续完善泉金航线陆上接驳工作，拓宽货运直航台湾业务范围。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三</w:t>
      </w:r>
      <w:r>
        <w:rPr>
          <w:rFonts w:hint="eastAsia"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赋能产业提质增效</w:t>
      </w:r>
      <w:r>
        <w:rPr>
          <w:rFonts w:hint="eastAsia"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高速发展交通运输经济</w:t>
      </w:r>
    </w:p>
    <w:p>
      <w:pPr>
        <w:pStyle w:val="2"/>
        <w:keepNext w:val="0"/>
        <w:keepLines w:val="0"/>
        <w:pageBreakBefore w:val="0"/>
        <w:widowControl w:val="0"/>
        <w:kinsoku/>
        <w:wordWrap/>
        <w:overflowPunct/>
        <w:topLinePunct w:val="0"/>
        <w:autoSpaceDE/>
        <w:autoSpaceDN/>
        <w:bidi w:val="0"/>
        <w:spacing w:after="0" w:line="560" w:lineRule="exact"/>
        <w:ind w:left="0" w:leftChars="0" w:right="0"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8.</w:t>
      </w:r>
      <w:r>
        <w:rPr>
          <w:rFonts w:hint="eastAsia" w:ascii="Times New Roman" w:hAnsi="Times New Roman" w:eastAsia="仿宋_GB2312" w:cs="仿宋_GB2312"/>
          <w:b/>
          <w:bCs/>
          <w:color w:val="auto"/>
          <w:sz w:val="32"/>
          <w:szCs w:val="32"/>
          <w:highlight w:val="none"/>
          <w:lang w:eastAsia="zh-CN"/>
        </w:rPr>
        <w:t>加快交通运输现代服务业发展</w:t>
      </w:r>
      <w:r>
        <w:rPr>
          <w:rFonts w:hint="eastAsia" w:ascii="Times New Roman" w:hAnsi="Times New Roman" w:eastAsia="仿宋_GB2312" w:cs="仿宋_GB2312"/>
          <w:b/>
          <w:bCs/>
          <w:color w:val="auto"/>
          <w:sz w:val="32"/>
          <w:szCs w:val="32"/>
          <w:highlight w:val="none"/>
        </w:rPr>
        <w:t>。</w:t>
      </w:r>
      <w:r>
        <w:rPr>
          <w:rFonts w:hint="eastAsia" w:ascii="Times New Roman" w:hAnsi="Times New Roman" w:eastAsia="仿宋_GB2312" w:cs="仿宋_GB2312"/>
          <w:color w:val="auto"/>
          <w:sz w:val="32"/>
          <w:szCs w:val="32"/>
          <w:highlight w:val="none"/>
          <w:lang w:bidi="ar"/>
        </w:rPr>
        <w:t>依托兴泉铁路南安北站打造国内一流、国际先进的闽西南国际商贸物流中心，整合零散物流园区，构建面向快递、冷链、高价值货品等的综合物流枢纽。着力推进石井港后方物流园区建设，优化港后方物流配套设施，形成“港—产—城”联动发展新局面，打造泉厦地区公水联运枢纽。</w:t>
      </w:r>
      <w:r>
        <w:rPr>
          <w:rFonts w:hint="eastAsia" w:ascii="Times New Roman" w:hAnsi="Times New Roman" w:eastAsia="仿宋_GB2312" w:cs="仿宋_GB2312"/>
          <w:color w:val="auto"/>
          <w:sz w:val="32"/>
          <w:szCs w:val="32"/>
          <w:highlight w:val="none"/>
        </w:rPr>
        <w:t>培育壮大总部经济</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充分发挥天地汇网络货运平台规模效应，有效培育网络货运全国品牌企业，发展壮大天地汇、宏图华昌两大示范企业</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督促天地汇东南区域总部项目尽早开工建设，争取2023年网络货运平台营收达70亿元，纳税超3亿元。</w:t>
      </w:r>
      <w:r>
        <w:rPr>
          <w:rFonts w:hint="eastAsia" w:ascii="Times New Roman" w:hAnsi="Times New Roman" w:eastAsia="仿宋_GB2312" w:cs="仿宋_GB2312"/>
          <w:b w:val="0"/>
          <w:bCs/>
          <w:i w:val="0"/>
          <w:caps w:val="0"/>
          <w:color w:val="auto"/>
          <w:spacing w:val="0"/>
          <w:sz w:val="32"/>
          <w:szCs w:val="32"/>
          <w:highlight w:val="none"/>
          <w:shd w:val="clear" w:color="auto" w:fill="FFFFFF"/>
          <w:lang w:val="en-US" w:eastAsia="zh-CN"/>
        </w:rPr>
        <w:t>指导好运联联集团旗下企</w:t>
      </w:r>
      <w:r>
        <w:rPr>
          <w:rFonts w:hint="eastAsia" w:ascii="Times New Roman" w:hAnsi="Times New Roman" w:eastAsia="仿宋_GB2312" w:cs="仿宋_GB2312"/>
          <w:color w:val="auto"/>
          <w:sz w:val="32"/>
          <w:szCs w:val="32"/>
          <w:highlight w:val="none"/>
          <w:lang w:val="en-US" w:eastAsia="zh-CN"/>
        </w:rPr>
        <w:t>业泉州红运驰都物流科技有限公司按照计划投入1亿元，购入200辆牵引车，助推实体物流高效发展。</w:t>
      </w:r>
    </w:p>
    <w:p>
      <w:pPr>
        <w:pStyle w:val="2"/>
        <w:keepNext w:val="0"/>
        <w:keepLines w:val="0"/>
        <w:pageBreakBefore w:val="0"/>
        <w:widowControl w:val="0"/>
        <w:kinsoku/>
        <w:wordWrap/>
        <w:overflowPunct/>
        <w:topLinePunct w:val="0"/>
        <w:autoSpaceDE/>
        <w:autoSpaceDN/>
        <w:bidi w:val="0"/>
        <w:spacing w:after="0" w:line="560" w:lineRule="exact"/>
        <w:ind w:left="0" w:leftChars="0" w:right="0" w:firstLine="643"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val="en-US" w:eastAsia="zh-CN"/>
        </w:rPr>
        <w:t>9.合理调整运输结构</w:t>
      </w: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color w:val="auto"/>
          <w:sz w:val="32"/>
          <w:szCs w:val="32"/>
          <w:highlight w:val="none"/>
        </w:rPr>
        <w:t>加快推进我市运输结构调整优化</w:t>
      </w:r>
      <w:r>
        <w:rPr>
          <w:rFonts w:hint="eastAsia" w:ascii="Times New Roman" w:hAnsi="Times New Roman" w:eastAsia="仿宋_GB2312" w:cs="Times New Roman"/>
          <w:color w:val="auto"/>
          <w:sz w:val="32"/>
          <w:szCs w:val="32"/>
          <w:highlight w:val="none"/>
        </w:rPr>
        <w:t>，支持甩挂运输发展，</w:t>
      </w:r>
      <w:r>
        <w:rPr>
          <w:rFonts w:hint="eastAsia" w:ascii="Times New Roman" w:hAnsi="Times New Roman" w:eastAsia="仿宋_GB2312" w:cs="Times New Roman"/>
          <w:color w:val="auto"/>
          <w:sz w:val="32"/>
          <w:szCs w:val="32"/>
          <w:highlight w:val="none"/>
          <w:lang w:eastAsia="zh-CN"/>
        </w:rPr>
        <w:t>计划</w:t>
      </w:r>
      <w:r>
        <w:rPr>
          <w:rFonts w:hint="eastAsia" w:ascii="Times New Roman" w:hAnsi="Times New Roman" w:eastAsia="仿宋_GB2312" w:cs="Times New Roman"/>
          <w:color w:val="auto"/>
          <w:sz w:val="32"/>
          <w:szCs w:val="32"/>
          <w:highlight w:val="none"/>
        </w:rPr>
        <w:t>新增牵引车</w:t>
      </w:r>
      <w:r>
        <w:rPr>
          <w:rFonts w:hint="eastAsia" w:ascii="Times New Roman" w:hAnsi="Times New Roman" w:eastAsia="仿宋_GB2312" w:cs="Times New Roman"/>
          <w:color w:val="auto"/>
          <w:sz w:val="32"/>
          <w:szCs w:val="32"/>
          <w:highlight w:val="none"/>
          <w:lang w:val="en-US" w:eastAsia="zh-CN"/>
        </w:rPr>
        <w:t>50</w:t>
      </w:r>
      <w:r>
        <w:rPr>
          <w:rFonts w:hint="eastAsia" w:ascii="Times New Roman" w:hAnsi="Times New Roman" w:eastAsia="仿宋_GB2312" w:cs="Times New Roman"/>
          <w:color w:val="auto"/>
          <w:sz w:val="32"/>
          <w:szCs w:val="32"/>
          <w:highlight w:val="none"/>
        </w:rPr>
        <w:t>辆、挂车</w:t>
      </w:r>
      <w:r>
        <w:rPr>
          <w:rFonts w:hint="eastAsia" w:ascii="Times New Roman" w:hAnsi="Times New Roman" w:eastAsia="仿宋_GB2312" w:cs="Times New Roman"/>
          <w:color w:val="auto"/>
          <w:sz w:val="32"/>
          <w:szCs w:val="32"/>
          <w:highlight w:val="none"/>
          <w:lang w:val="en-US" w:eastAsia="zh-CN"/>
        </w:rPr>
        <w:t>100</w:t>
      </w:r>
      <w:r>
        <w:rPr>
          <w:rFonts w:hint="eastAsia" w:ascii="Times New Roman" w:hAnsi="Times New Roman" w:eastAsia="仿宋_GB2312" w:cs="Times New Roman"/>
          <w:color w:val="auto"/>
          <w:sz w:val="32"/>
          <w:szCs w:val="32"/>
          <w:highlight w:val="none"/>
        </w:rPr>
        <w:t>辆</w:t>
      </w:r>
      <w:r>
        <w:rPr>
          <w:rFonts w:hint="eastAsia" w:ascii="Times New Roman" w:hAnsi="Times New Roman" w:eastAsia="仿宋_GB2312" w:cs="Times New Roman"/>
          <w:color w:val="auto"/>
          <w:sz w:val="32"/>
          <w:szCs w:val="32"/>
          <w:highlight w:val="none"/>
          <w:lang w:eastAsia="zh-CN"/>
        </w:rPr>
        <w:t>。推广多式联运“一单制”，推动大宗货物和集装箱运输“公转铁”“公转水”，加大大宗货运“散改集”</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提高综合运输效率。</w:t>
      </w:r>
      <w:r>
        <w:rPr>
          <w:rFonts w:hint="eastAsia" w:ascii="Times New Roman" w:hAnsi="Times New Roman" w:eastAsia="仿宋_GB2312" w:cs="Times New Roman"/>
          <w:b w:val="0"/>
          <w:color w:val="auto"/>
          <w:kern w:val="2"/>
          <w:sz w:val="32"/>
          <w:szCs w:val="32"/>
          <w:highlight w:val="none"/>
          <w:lang w:val="en-US" w:eastAsia="zh-CN" w:bidi="ar-SA"/>
        </w:rPr>
        <w:t>加快集疏运体系建设，推进路网集散运通道、港口集疏运通道、运输多式联运通道有机衔接，提升客运“零距离换乘”和货运“无缝衔接”水平，确</w:t>
      </w:r>
      <w:r>
        <w:rPr>
          <w:rFonts w:hint="eastAsia" w:ascii="Times New Roman" w:hAnsi="Times New Roman" w:eastAsia="仿宋_GB2312" w:cs="Times New Roman"/>
          <w:color w:val="auto"/>
          <w:sz w:val="32"/>
          <w:szCs w:val="32"/>
          <w:highlight w:val="none"/>
          <w:lang w:val="en-US" w:eastAsia="zh-CN"/>
        </w:rPr>
        <w:t>保“</w:t>
      </w:r>
      <w:r>
        <w:rPr>
          <w:rFonts w:hint="eastAsia" w:ascii="Times New Roman" w:hAnsi="Times New Roman" w:eastAsia="仿宋_GB2312" w:cs="Times New Roman"/>
          <w:color w:val="auto"/>
          <w:sz w:val="32"/>
          <w:szCs w:val="32"/>
          <w:highlight w:val="none"/>
          <w:lang w:eastAsia="zh-CN"/>
        </w:rPr>
        <w:t>人畅其行</w:t>
      </w:r>
      <w:r>
        <w:rPr>
          <w:rFonts w:hint="default" w:ascii="Times New Roman" w:hAnsi="Times New Roman" w:eastAsia="仿宋_GB2312" w:cs="Times New Roman"/>
          <w:color w:val="auto"/>
          <w:sz w:val="32"/>
          <w:szCs w:val="32"/>
          <w:highlight w:val="none"/>
          <w:lang w:eastAsia="zh-CN"/>
        </w:rPr>
        <w:t>、货畅其流</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left="0" w:leftChars="0" w:right="0" w:firstLine="643"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10.推动绿色低碳转型。</w:t>
      </w:r>
      <w:r>
        <w:rPr>
          <w:rFonts w:hint="eastAsia" w:ascii="Times New Roman" w:hAnsi="Times New Roman" w:eastAsia="仿宋_GB2312" w:cs="Times New Roman"/>
          <w:color w:val="auto"/>
          <w:kern w:val="2"/>
          <w:sz w:val="32"/>
          <w:szCs w:val="32"/>
          <w:highlight w:val="none"/>
          <w:lang w:val="en-US" w:eastAsia="zh-CN" w:bidi="ar-SA"/>
        </w:rPr>
        <w:t>推动公交示范城市创建，新增和更新的公交车、巡游出租车原则上全部采用新能源汽车，计划新购置新能源出租车10辆。全面运行船舶污染物电子联单系统，加快更新淘汰国三以下排放标准营运柴油货车，鼓励使用国六排放标准车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11.</w:t>
      </w:r>
      <w:r>
        <w:rPr>
          <w:rFonts w:hint="eastAsia" w:ascii="Times New Roman" w:hAnsi="Times New Roman" w:eastAsia="仿宋_GB2312" w:cs="仿宋_GB2312"/>
          <w:b/>
          <w:bCs/>
          <w:color w:val="auto"/>
          <w:sz w:val="32"/>
          <w:szCs w:val="32"/>
          <w:highlight w:val="none"/>
        </w:rPr>
        <w:t>发展壮大航运业</w:t>
      </w: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优化港航服务，</w:t>
      </w:r>
      <w:r>
        <w:rPr>
          <w:rFonts w:hint="eastAsia" w:ascii="Times New Roman" w:hAnsi="Times New Roman" w:eastAsia="仿宋_GB2312" w:cs="仿宋_GB2312"/>
          <w:color w:val="auto"/>
          <w:sz w:val="32"/>
          <w:szCs w:val="32"/>
          <w:highlight w:val="none"/>
        </w:rPr>
        <w:t>制定出台新的航运业扶持政策，</w:t>
      </w:r>
      <w:r>
        <w:rPr>
          <w:rFonts w:hint="default" w:ascii="Times New Roman" w:hAnsi="Times New Roman" w:eastAsia="仿宋_GB2312" w:cs="Times New Roman"/>
          <w:bCs/>
          <w:color w:val="auto"/>
          <w:kern w:val="2"/>
          <w:sz w:val="32"/>
          <w:szCs w:val="32"/>
          <w:highlight w:val="none"/>
          <w:lang w:val="en-US" w:eastAsia="zh-CN" w:bidi="ar-SA"/>
        </w:rPr>
        <w:t>以南安市港航产业协会为依托，加强与银行、第三方融资租赁企业沟通对接，帮助航运企业解决融资难的问题，</w:t>
      </w:r>
      <w:r>
        <w:rPr>
          <w:rFonts w:hint="eastAsia" w:ascii="Times New Roman" w:hAnsi="Times New Roman" w:eastAsia="仿宋_GB2312" w:cs="仿宋_GB2312"/>
          <w:color w:val="auto"/>
          <w:sz w:val="32"/>
          <w:szCs w:val="32"/>
          <w:highlight w:val="none"/>
        </w:rPr>
        <w:t>引导外挂船舶回迁，撑大航运产业体量，形成产业区块优势，增强产业竞争力</w:t>
      </w:r>
      <w:r>
        <w:rPr>
          <w:rFonts w:hint="eastAsia" w:ascii="Times New Roman" w:hAnsi="Times New Roman" w:eastAsia="仿宋_GB2312" w:cs="仿宋_GB2312"/>
          <w:color w:val="auto"/>
          <w:sz w:val="32"/>
          <w:szCs w:val="32"/>
          <w:highlight w:val="none"/>
          <w:lang w:eastAsia="zh-CN"/>
        </w:rPr>
        <w:t>，实现规模化发展。计划</w:t>
      </w:r>
      <w:r>
        <w:rPr>
          <w:rFonts w:hint="eastAsia" w:ascii="Times New Roman" w:hAnsi="Times New Roman" w:eastAsia="仿宋_GB2312" w:cs="仿宋_GB2312"/>
          <w:b w:val="0"/>
          <w:bCs/>
          <w:i w:val="0"/>
          <w:caps w:val="0"/>
          <w:color w:val="auto"/>
          <w:spacing w:val="0"/>
          <w:sz w:val="32"/>
          <w:szCs w:val="32"/>
          <w:highlight w:val="none"/>
          <w:shd w:val="clear" w:color="auto" w:fill="FFFFFF"/>
          <w:lang w:val="en-US" w:eastAsia="zh-CN"/>
        </w:rPr>
        <w:t>引进船舶5艘合计约20万载重吨，</w:t>
      </w:r>
      <w:r>
        <w:rPr>
          <w:rFonts w:hint="eastAsia" w:ascii="Times New Roman" w:hAnsi="Times New Roman" w:eastAsia="仿宋_GB2312" w:cs="仿宋_GB2312"/>
          <w:color w:val="auto"/>
          <w:sz w:val="32"/>
          <w:szCs w:val="32"/>
          <w:highlight w:val="none"/>
        </w:rPr>
        <w:t>力争到2023年全市船舶运力</w:t>
      </w:r>
      <w:r>
        <w:rPr>
          <w:rFonts w:hint="eastAsia" w:ascii="Times New Roman" w:hAnsi="Times New Roman" w:eastAsia="仿宋_GB2312" w:cs="仿宋_GB2312"/>
          <w:color w:val="auto"/>
          <w:sz w:val="32"/>
          <w:szCs w:val="32"/>
          <w:highlight w:val="none"/>
          <w:lang w:eastAsia="zh-CN"/>
        </w:rPr>
        <w:t>超</w:t>
      </w:r>
      <w:r>
        <w:rPr>
          <w:rFonts w:hint="eastAsia" w:ascii="Times New Roman" w:hAnsi="Times New Roman" w:eastAsia="仿宋_GB2312" w:cs="仿宋_GB2312"/>
          <w:color w:val="auto"/>
          <w:sz w:val="32"/>
          <w:szCs w:val="32"/>
          <w:highlight w:val="none"/>
        </w:rPr>
        <w:t>80万载重吨，带动“南安人经济”回流</w:t>
      </w:r>
      <w:r>
        <w:rPr>
          <w:rFonts w:hint="eastAsia" w:ascii="Times New Roman" w:hAnsi="Times New Roman" w:eastAsia="仿宋_GB2312" w:cs="仿宋_GB2312"/>
          <w:color w:val="auto"/>
          <w:sz w:val="32"/>
          <w:szCs w:val="32"/>
          <w:highlight w:val="none"/>
          <w:lang w:eastAsia="zh-CN"/>
        </w:rPr>
        <w:t>，为助力海洋经济提供引擎。</w:t>
      </w:r>
    </w:p>
    <w:bookmarkEnd w:id="3"/>
    <w:p>
      <w:pPr>
        <w:pStyle w:val="6"/>
        <w:keepNext w:val="0"/>
        <w:keepLines w:val="0"/>
        <w:pageBreakBefore w:val="0"/>
        <w:kinsoku/>
        <w:wordWrap/>
        <w:overflowPunct/>
        <w:topLinePunct w:val="0"/>
        <w:autoSpaceDE/>
        <w:autoSpaceDN/>
        <w:bidi w:val="0"/>
        <w:spacing w:line="560" w:lineRule="exact"/>
        <w:ind w:left="0" w:leftChars="0" w:right="0" w:firstLine="640" w:firstLineChars="200"/>
        <w:jc w:val="both"/>
        <w:textAlignment w:val="auto"/>
        <w:rPr>
          <w:rFonts w:hint="eastAsia" w:ascii="Times New Roman" w:hAnsi="Times New Roman" w:eastAsia="楷体_GB2312" w:cs="Times New Roman"/>
          <w:bCs/>
          <w:color w:val="auto"/>
          <w:sz w:val="32"/>
          <w:szCs w:val="32"/>
          <w:highlight w:val="none"/>
          <w:lang w:eastAsia="zh-CN"/>
        </w:rPr>
      </w:pPr>
      <w:r>
        <w:rPr>
          <w:rFonts w:hint="eastAsia" w:ascii="Times New Roman" w:hAnsi="Times New Roman" w:eastAsia="楷体_GB2312" w:cs="Times New Roman"/>
          <w:bCs/>
          <w:color w:val="auto"/>
          <w:sz w:val="32"/>
          <w:szCs w:val="32"/>
          <w:highlight w:val="none"/>
          <w:lang w:eastAsia="zh-CN"/>
        </w:rPr>
        <w:t>（四</w:t>
      </w:r>
      <w:r>
        <w:rPr>
          <w:rFonts w:hint="eastAsia"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kern w:val="2"/>
          <w:sz w:val="32"/>
          <w:szCs w:val="32"/>
          <w:highlight w:val="none"/>
          <w:lang w:val="en-US" w:eastAsia="zh-CN" w:bidi="ar-SA"/>
        </w:rPr>
        <w:t>依法完善行业管理，打造优质交通营商环境</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Times New Roman"/>
          <w:b/>
          <w:bCs/>
          <w:color w:val="auto"/>
          <w:sz w:val="32"/>
          <w:szCs w:val="32"/>
          <w:highlight w:val="none"/>
          <w:lang w:val="en-US" w:eastAsia="zh-CN"/>
        </w:rPr>
        <w:t>12.</w:t>
      </w:r>
      <w:r>
        <w:rPr>
          <w:rFonts w:hint="eastAsia" w:ascii="Times New Roman" w:hAnsi="Times New Roman" w:eastAsia="仿宋_GB2312" w:cs="Times New Roman"/>
          <w:b/>
          <w:bCs/>
          <w:color w:val="auto"/>
          <w:sz w:val="32"/>
          <w:szCs w:val="32"/>
          <w:highlight w:val="none"/>
          <w:lang w:eastAsia="zh-CN"/>
        </w:rPr>
        <w:t>持续优化营商环境</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仿宋_GB2312"/>
          <w:color w:val="auto"/>
          <w:kern w:val="2"/>
          <w:sz w:val="32"/>
          <w:szCs w:val="32"/>
          <w:highlight w:val="none"/>
          <w:lang w:val="en-US" w:eastAsia="zh-CN" w:bidi="ar-SA"/>
        </w:rPr>
        <w:t>深化“放管服”改革，</w:t>
      </w:r>
      <w:r>
        <w:rPr>
          <w:rFonts w:hint="eastAsia" w:ascii="Times New Roman" w:hAnsi="Times New Roman" w:eastAsia="仿宋_GB2312" w:cs="仿宋_GB2312"/>
          <w:color w:val="auto"/>
          <w:kern w:val="2"/>
          <w:sz w:val="32"/>
          <w:szCs w:val="32"/>
          <w:highlight w:val="none"/>
          <w:lang w:val="en-US" w:eastAsia="zh-CN" w:bidi="ar-SA"/>
        </w:rPr>
        <w:t>开展“包容</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jc w:val="both"/>
        <w:textAlignment w:val="auto"/>
        <w:rPr>
          <w:rFonts w:hint="eastAsia" w:ascii="Times New Roman" w:hAnsi="Times New Roman" w:eastAsia="仿宋" w:cs="仿宋"/>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普惠创新-综合立体交通”等活动。持续开展“三减一提升”，进一步优化审批服务，</w:t>
      </w:r>
      <w:r>
        <w:rPr>
          <w:rFonts w:hint="default" w:ascii="Times New Roman" w:hAnsi="Times New Roman" w:eastAsia="仿宋_GB2312" w:cs="仿宋_GB2312"/>
          <w:color w:val="auto"/>
          <w:kern w:val="2"/>
          <w:sz w:val="32"/>
          <w:szCs w:val="32"/>
          <w:highlight w:val="none"/>
          <w:lang w:val="en-US" w:eastAsia="zh-CN" w:bidi="ar-SA"/>
        </w:rPr>
        <w:t>争取所有服务事项的办理时限、环节、材料均优于兄弟县（市、区）</w:t>
      </w:r>
      <w:r>
        <w:rPr>
          <w:rFonts w:hint="eastAsia" w:ascii="Times New Roman" w:hAnsi="Times New Roman" w:eastAsia="仿宋_GB2312" w:cs="仿宋_GB2312"/>
          <w:color w:val="auto"/>
          <w:kern w:val="2"/>
          <w:sz w:val="32"/>
          <w:szCs w:val="32"/>
          <w:highlight w:val="none"/>
          <w:lang w:val="en-US" w:eastAsia="zh-CN" w:bidi="ar-SA"/>
        </w:rPr>
        <w:t>。推进电子证照生成和应用，推动电子证照应用共享和互认共享。</w:t>
      </w:r>
      <w:r>
        <w:rPr>
          <w:rFonts w:hint="eastAsia" w:ascii="Times New Roman" w:hAnsi="Times New Roman" w:eastAsia="仿宋" w:cs="仿宋"/>
          <w:color w:val="auto"/>
          <w:sz w:val="32"/>
          <w:szCs w:val="32"/>
          <w:highlight w:val="none"/>
          <w:lang w:val="en-US" w:eastAsia="zh-CN"/>
        </w:rPr>
        <w:t>开启高频事项自助办理服务，加强与上级沟通协调，争取上级支持我局高频事项自助办理软件应用。推进延伸服务，拓展普通货运车辆《道路运输证》年审“一站式”服务范围。</w:t>
      </w:r>
      <w:r>
        <w:rPr>
          <w:rFonts w:hint="eastAsia" w:ascii="Times New Roman" w:hAnsi="Times New Roman" w:eastAsia="仿宋" w:cs="仿宋"/>
          <w:i w:val="0"/>
          <w:caps w:val="0"/>
          <w:color w:val="auto"/>
          <w:spacing w:val="0"/>
          <w:sz w:val="32"/>
          <w:szCs w:val="32"/>
          <w:highlight w:val="none"/>
          <w:lang w:val="en-US" w:eastAsia="zh-CN"/>
        </w:rPr>
        <w:t>拓展“一件事”套餐服务范围，</w:t>
      </w:r>
      <w:r>
        <w:rPr>
          <w:rFonts w:hint="eastAsia" w:ascii="Times New Roman" w:hAnsi="Times New Roman" w:eastAsia="仿宋" w:cs="仿宋"/>
          <w:color w:val="auto"/>
          <w:sz w:val="32"/>
          <w:szCs w:val="32"/>
          <w:highlight w:val="none"/>
          <w:lang w:val="en-US" w:eastAsia="zh-CN"/>
        </w:rPr>
        <w:t>提高“一件事</w:t>
      </w:r>
      <w:r>
        <w:rPr>
          <w:rFonts w:hint="default" w:ascii="Times New Roman" w:hAnsi="Times New Roman" w:eastAsia="仿宋" w:cs="仿宋"/>
          <w:color w:val="auto"/>
          <w:sz w:val="32"/>
          <w:szCs w:val="32"/>
          <w:highlight w:val="none"/>
          <w:lang w:val="en-US" w:eastAsia="zh-CN"/>
        </w:rPr>
        <w:t>”</w:t>
      </w:r>
      <w:r>
        <w:rPr>
          <w:rFonts w:hint="eastAsia" w:ascii="Times New Roman" w:hAnsi="Times New Roman" w:eastAsia="仿宋" w:cs="仿宋"/>
          <w:color w:val="auto"/>
          <w:sz w:val="32"/>
          <w:szCs w:val="32"/>
          <w:highlight w:val="none"/>
          <w:lang w:val="en-US" w:eastAsia="zh-CN"/>
        </w:rPr>
        <w:t>办件率。推进高频事项“跨省通办”“省内通办”“异地代收代办”，</w:t>
      </w:r>
      <w:r>
        <w:rPr>
          <w:rFonts w:hint="eastAsia" w:ascii="Times New Roman" w:hAnsi="Times New Roman" w:eastAsia="仿宋" w:cs="仿宋"/>
          <w:color w:val="auto"/>
          <w:kern w:val="2"/>
          <w:sz w:val="32"/>
          <w:szCs w:val="32"/>
          <w:highlight w:val="none"/>
          <w:lang w:val="en-US" w:eastAsia="zh-CN" w:bidi="ar-SA"/>
        </w:rPr>
        <w:t>省级政务服务事项“一网通办”100%、跨省大件审批“掌上办”应用 100%，</w:t>
      </w:r>
      <w:r>
        <w:rPr>
          <w:rFonts w:hint="eastAsia" w:ascii="Times New Roman" w:hAnsi="Times New Roman" w:eastAsia="仿宋_GB2312" w:cs="仿宋_GB2312"/>
          <w:color w:val="auto"/>
          <w:kern w:val="2"/>
          <w:sz w:val="32"/>
          <w:szCs w:val="32"/>
          <w:highlight w:val="none"/>
          <w:lang w:val="en-US" w:eastAsia="zh-CN" w:bidi="ar-SA"/>
        </w:rPr>
        <w:t>进一步提高全程网办比例，</w:t>
      </w:r>
      <w:r>
        <w:rPr>
          <w:rFonts w:hint="eastAsia" w:ascii="Times New Roman" w:hAnsi="Times New Roman" w:eastAsia="仿宋" w:cs="仿宋"/>
          <w:color w:val="auto"/>
          <w:sz w:val="32"/>
          <w:szCs w:val="32"/>
          <w:highlight w:val="none"/>
          <w:lang w:val="en-US" w:eastAsia="zh-CN"/>
        </w:rPr>
        <w:t>推动政务服务从“可办、能办、线下办”向“易办、好办、网上办”转变，进一步提升企业群众办事便捷性、满意度和获得感。</w:t>
      </w:r>
    </w:p>
    <w:p>
      <w:pPr>
        <w:pStyle w:val="3"/>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13.强化法治信用建设。</w:t>
      </w:r>
      <w:r>
        <w:rPr>
          <w:rFonts w:hint="eastAsia" w:ascii="Times New Roman" w:hAnsi="Times New Roman" w:eastAsia="仿宋_GB2312" w:cs="Times New Roman"/>
          <w:b w:val="0"/>
          <w:bCs w:val="0"/>
          <w:color w:val="auto"/>
          <w:sz w:val="32"/>
          <w:szCs w:val="32"/>
          <w:highlight w:val="none"/>
          <w:lang w:val="en-US" w:eastAsia="zh-CN"/>
        </w:rPr>
        <w:t>落实《法治政府建设实施纲要（2021-2025）》和“八五”普法规划</w:t>
      </w:r>
      <w:r>
        <w:rPr>
          <w:rFonts w:hint="eastAsia" w:ascii="Times New Roman" w:hAnsi="Times New Roman" w:eastAsia="仿宋_GB2312" w:cs="Times New Roman"/>
          <w:b w:val="0"/>
          <w:bCs w:val="0"/>
          <w:color w:val="auto"/>
          <w:sz w:val="32"/>
          <w:szCs w:val="32"/>
          <w:highlight w:val="none"/>
          <w:lang w:val="en-US" w:eastAsia="zh-CN"/>
        </w:rPr>
        <w:t>，持续推进</w:t>
      </w:r>
      <w:r>
        <w:rPr>
          <w:rFonts w:hint="eastAsia" w:ascii="Times New Roman" w:hAnsi="Times New Roman" w:eastAsia="仿宋_GB2312" w:cs="Times New Roman"/>
          <w:b w:val="0"/>
          <w:bCs w:val="0"/>
          <w:color w:val="auto"/>
          <w:sz w:val="32"/>
          <w:szCs w:val="32"/>
          <w:highlight w:val="none"/>
          <w:lang w:eastAsia="zh-CN"/>
        </w:rPr>
        <w:t>规范事中事后监管三年行动，</w:t>
      </w:r>
      <w:r>
        <w:rPr>
          <w:rFonts w:hint="default" w:ascii="Times New Roman" w:hAnsi="Times New Roman" w:eastAsia="仿宋_GB2312" w:cs="Times New Roman"/>
          <w:b w:val="0"/>
          <w:bCs w:val="0"/>
          <w:color w:val="auto"/>
          <w:sz w:val="32"/>
          <w:szCs w:val="32"/>
          <w:highlight w:val="none"/>
          <w:lang w:eastAsia="zh-CN"/>
        </w:rPr>
        <w:t>严格落实规范性文件管理</w:t>
      </w:r>
      <w:r>
        <w:rPr>
          <w:rFonts w:hint="default" w:ascii="Times New Roman" w:hAnsi="Times New Roman" w:eastAsia="仿宋_GB2312" w:cs="Times New Roman"/>
          <w:b w:val="0"/>
          <w:bCs w:val="0"/>
          <w:color w:val="auto"/>
          <w:sz w:val="32"/>
          <w:szCs w:val="32"/>
          <w:highlight w:val="none"/>
        </w:rPr>
        <w:t>制度，</w:t>
      </w:r>
      <w:r>
        <w:rPr>
          <w:rFonts w:hint="default" w:ascii="Times New Roman" w:hAnsi="Times New Roman" w:eastAsia="仿宋_GB2312" w:cs="Times New Roman"/>
          <w:b w:val="0"/>
          <w:bCs w:val="0"/>
          <w:color w:val="auto"/>
          <w:sz w:val="32"/>
          <w:szCs w:val="32"/>
          <w:highlight w:val="none"/>
          <w:lang w:eastAsia="zh-CN"/>
        </w:rPr>
        <w:t>扩大</w:t>
      </w:r>
      <w:r>
        <w:rPr>
          <w:rFonts w:hint="default" w:ascii="Times New Roman" w:hAnsi="Times New Roman" w:eastAsia="仿宋_GB2312" w:cs="Times New Roman"/>
          <w:b w:val="0"/>
          <w:bCs w:val="0"/>
          <w:color w:val="auto"/>
          <w:sz w:val="32"/>
          <w:szCs w:val="32"/>
          <w:highlight w:val="none"/>
        </w:rPr>
        <w:t>“双随机”抽查制度</w:t>
      </w:r>
      <w:r>
        <w:rPr>
          <w:rFonts w:hint="default" w:ascii="Times New Roman" w:hAnsi="Times New Roman" w:eastAsia="仿宋_GB2312" w:cs="Times New Roman"/>
          <w:b w:val="0"/>
          <w:bCs w:val="0"/>
          <w:color w:val="auto"/>
          <w:sz w:val="32"/>
          <w:szCs w:val="32"/>
          <w:highlight w:val="none"/>
          <w:lang w:eastAsia="zh-CN"/>
        </w:rPr>
        <w:t>的覆盖面</w:t>
      </w:r>
      <w:r>
        <w:rPr>
          <w:rFonts w:hint="default" w:ascii="Times New Roman" w:hAnsi="Times New Roman" w:eastAsia="仿宋_GB2312" w:cs="Times New Roman"/>
          <w:b w:val="0"/>
          <w:bCs w:val="0"/>
          <w:color w:val="auto"/>
          <w:sz w:val="32"/>
          <w:szCs w:val="32"/>
          <w:highlight w:val="none"/>
        </w:rPr>
        <w:t>，依法依规加强交通运输守信激励和失信惩戒</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落实落细落深</w:t>
      </w:r>
      <w:r>
        <w:rPr>
          <w:rFonts w:hint="eastAsia" w:ascii="Times New Roman" w:hAnsi="Times New Roman" w:eastAsia="仿宋_GB2312" w:cs="仿宋_GB2312"/>
          <w:b w:val="0"/>
          <w:bCs w:val="0"/>
          <w:color w:val="auto"/>
          <w:kern w:val="0"/>
          <w:sz w:val="32"/>
          <w:szCs w:val="32"/>
          <w:highlight w:val="none"/>
          <w:lang w:val="en-US" w:eastAsia="zh-CN"/>
        </w:rPr>
        <w:t>信用承诺、失信惩戒、信誉考核等制度。</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14.提升执法规范化</w:t>
      </w:r>
      <w:r>
        <w:rPr>
          <w:rFonts w:hint="eastAsia" w:ascii="Times New Roman" w:hAnsi="Times New Roman" w:eastAsia="仿宋_GB2312" w:cs="仿宋_GB2312"/>
          <w:b/>
          <w:bCs/>
          <w:color w:val="auto"/>
          <w:sz w:val="32"/>
          <w:szCs w:val="32"/>
          <w:highlight w:val="none"/>
          <w:lang w:val="en-US" w:eastAsia="zh-CN"/>
        </w:rPr>
        <w:t>智能化</w:t>
      </w:r>
      <w:r>
        <w:rPr>
          <w:rFonts w:hint="eastAsia"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eastAsia="zh-CN"/>
        </w:rPr>
        <w:t>扎实推进行政执法“四基四化”建设，持续</w:t>
      </w:r>
      <w:r>
        <w:rPr>
          <w:rFonts w:hint="eastAsia" w:ascii="Times New Roman" w:hAnsi="Times New Roman" w:eastAsia="仿宋_GB2312" w:cs="Times New Roman"/>
          <w:b w:val="0"/>
          <w:bCs w:val="0"/>
          <w:color w:val="auto"/>
          <w:sz w:val="32"/>
          <w:szCs w:val="32"/>
          <w:highlight w:val="none"/>
          <w:lang w:eastAsia="zh-CN"/>
        </w:rPr>
        <w:t>开展交通运输综合执法队伍素质能力提升三年行动</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仿宋_GB2312"/>
          <w:b w:val="0"/>
          <w:bCs w:val="0"/>
          <w:color w:val="auto"/>
          <w:kern w:val="0"/>
          <w:sz w:val="32"/>
          <w:szCs w:val="32"/>
          <w:highlight w:val="none"/>
          <w:lang w:val="en-US" w:eastAsia="zh-CN"/>
        </w:rPr>
        <w:t>全面提升执法队伍规范化管理水平。</w:t>
      </w:r>
      <w:r>
        <w:rPr>
          <w:rFonts w:hint="default" w:ascii="Times New Roman" w:hAnsi="Times New Roman" w:eastAsia="仿宋_GB2312" w:cs="Times New Roman"/>
          <w:b w:val="0"/>
          <w:bCs w:val="0"/>
          <w:color w:val="auto"/>
          <w:sz w:val="32"/>
          <w:szCs w:val="32"/>
          <w:highlight w:val="none"/>
          <w:lang w:eastAsia="zh-CN"/>
        </w:rPr>
        <w:t>加强事中事后过程监管</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持续推进包容审慎监管，</w:t>
      </w:r>
      <w:r>
        <w:rPr>
          <w:rFonts w:hint="default" w:ascii="Times New Roman" w:hAnsi="Times New Roman" w:eastAsia="仿宋_GB2312" w:cs="Times New Roman"/>
          <w:b w:val="0"/>
          <w:bCs w:val="0"/>
          <w:color w:val="auto"/>
          <w:sz w:val="32"/>
          <w:szCs w:val="32"/>
          <w:highlight w:val="none"/>
          <w:lang w:eastAsia="zh-CN"/>
        </w:rPr>
        <w:t>定期组织开展案件评查</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扎实开展交通运输法治宣传教育</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巩固交通运输执法领域突出问题专项整治成效。</w:t>
      </w:r>
      <w:r>
        <w:rPr>
          <w:rFonts w:hint="default" w:ascii="Times New Roman" w:hAnsi="Times New Roman" w:eastAsia="仿宋_GB2312" w:cs="Times New Roman"/>
          <w:bCs/>
          <w:color w:val="auto"/>
          <w:kern w:val="2"/>
          <w:sz w:val="32"/>
          <w:szCs w:val="32"/>
          <w:highlight w:val="none"/>
          <w:lang w:val="en-US" w:eastAsia="zh-CN" w:bidi="ar-SA"/>
        </w:rPr>
        <w:t>持续</w:t>
      </w:r>
      <w:r>
        <w:rPr>
          <w:rFonts w:hint="eastAsia" w:ascii="Times New Roman" w:hAnsi="Times New Roman" w:eastAsia="仿宋_GB2312" w:cs="Times New Roman"/>
          <w:bCs/>
          <w:color w:val="auto"/>
          <w:kern w:val="2"/>
          <w:sz w:val="32"/>
          <w:szCs w:val="32"/>
          <w:highlight w:val="none"/>
          <w:lang w:val="en-US" w:eastAsia="zh-CN" w:bidi="ar-SA"/>
        </w:rPr>
        <w:t>配合</w:t>
      </w:r>
      <w:r>
        <w:rPr>
          <w:rFonts w:hint="default" w:ascii="Times New Roman" w:hAnsi="Times New Roman" w:eastAsia="仿宋_GB2312" w:cs="Times New Roman"/>
          <w:bCs/>
          <w:color w:val="auto"/>
          <w:kern w:val="2"/>
          <w:sz w:val="32"/>
          <w:szCs w:val="32"/>
          <w:highlight w:val="none"/>
          <w:lang w:val="en-US" w:eastAsia="zh-CN" w:bidi="ar-SA"/>
        </w:rPr>
        <w:t>做好泉州市国省干线公路智能化管理暨科技治超工程（一期），加快全市科技治超“一张网”建设，</w:t>
      </w:r>
      <w:r>
        <w:rPr>
          <w:rFonts w:hint="default" w:ascii="Times New Roman" w:hAnsi="Times New Roman" w:eastAsia="仿宋_GB2312" w:cs="Times New Roman"/>
          <w:color w:val="auto"/>
          <w:sz w:val="32"/>
          <w:szCs w:val="32"/>
          <w:highlight w:val="none"/>
          <w:lang w:val="en-US" w:eastAsia="zh-CN"/>
        </w:rPr>
        <w:t>以不停车检测预警系统、电子抓拍系统和移动执法终端形成科技治超全市“一张网”。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楷体_GB2312" w:cs="Times New Roman"/>
          <w:bCs/>
          <w:color w:val="auto"/>
          <w:sz w:val="32"/>
          <w:szCs w:val="32"/>
          <w:highlight w:val="none"/>
          <w:lang w:eastAsia="zh-CN"/>
        </w:rPr>
      </w:pPr>
      <w:r>
        <w:rPr>
          <w:rFonts w:hint="eastAsia"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sz w:val="32"/>
          <w:szCs w:val="32"/>
          <w:highlight w:val="none"/>
          <w:lang w:eastAsia="zh-CN"/>
        </w:rPr>
        <w:t>五</w:t>
      </w:r>
      <w:r>
        <w:rPr>
          <w:rFonts w:hint="eastAsia"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sz w:val="32"/>
          <w:szCs w:val="32"/>
          <w:highlight w:val="none"/>
          <w:lang w:eastAsia="zh-CN"/>
        </w:rPr>
        <w:t>完善安全保障体系</w:t>
      </w:r>
      <w:r>
        <w:rPr>
          <w:rFonts w:hint="eastAsia"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sz w:val="32"/>
          <w:szCs w:val="32"/>
          <w:highlight w:val="none"/>
          <w:lang w:eastAsia="zh-CN"/>
        </w:rPr>
        <w:t>打牢交通行业发展基础</w:t>
      </w:r>
    </w:p>
    <w:p>
      <w:pPr>
        <w:pStyle w:val="9"/>
        <w:keepNext w:val="0"/>
        <w:keepLines w:val="0"/>
        <w:pageBreakBefore w:val="0"/>
        <w:widowControl w:val="0"/>
        <w:numPr>
          <w:ilvl w:val="0"/>
          <w:numId w:val="0"/>
        </w:numPr>
        <w:kinsoku/>
        <w:wordWrap/>
        <w:overflowPunct/>
        <w:topLinePunct w:val="0"/>
        <w:autoSpaceDE/>
        <w:autoSpaceDN/>
        <w:bidi w:val="0"/>
        <w:spacing w:after="0"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i w:val="0"/>
          <w:iCs w:val="0"/>
          <w:color w:val="auto"/>
          <w:kern w:val="2"/>
          <w:sz w:val="32"/>
          <w:szCs w:val="32"/>
          <w:highlight w:val="none"/>
          <w:lang w:val="en-US" w:eastAsia="zh-CN" w:bidi="ar-SA"/>
        </w:rPr>
        <w:t>15.科学精准抓好疫情防控。</w:t>
      </w:r>
      <w:r>
        <w:rPr>
          <w:rFonts w:hint="eastAsia" w:ascii="Times New Roman" w:hAnsi="Times New Roman" w:eastAsia="仿宋_GB2312" w:cs="仿宋_GB2312"/>
          <w:color w:val="auto"/>
          <w:kern w:val="2"/>
          <w:sz w:val="32"/>
          <w:szCs w:val="32"/>
          <w:highlight w:val="none"/>
          <w:lang w:val="en-US" w:eastAsia="zh-CN" w:bidi="ar-SA"/>
        </w:rPr>
        <w:t>落实国务院联防联控机制《关于对新冠病毒感染实施“乙类乙管”总体方案的通知》要求，持续抓好道路水路运输常态化疫情防控措施，按规范要求做好汽车站、水路客运站等交通场站及客运班车(船舶)、旅游包车、公交车、出租车的日常消杀通风，引导提醒旅客规范佩戴口罩，做好个人健康防护。根据国家部署，在邮轮、“小三通”等水路口岸客运恢复后，做好船舶及出入境旅客的常态化疫情防控工作。</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0"/>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Times New Roman"/>
          <w:b/>
          <w:color w:val="auto"/>
          <w:sz w:val="32"/>
          <w:szCs w:val="32"/>
          <w:highlight w:val="none"/>
          <w:lang w:val="en-US" w:eastAsia="zh-CN"/>
        </w:rPr>
        <w:t>16</w:t>
      </w:r>
      <w:r>
        <w:rPr>
          <w:rFonts w:hint="eastAsia" w:ascii="Times New Roman" w:hAnsi="Times New Roman" w:eastAsia="仿宋_GB2312" w:cs="Times New Roman"/>
          <w:b/>
          <w:color w:val="auto"/>
          <w:sz w:val="32"/>
          <w:szCs w:val="32"/>
          <w:highlight w:val="none"/>
        </w:rPr>
        <w:t>.</w:t>
      </w:r>
      <w:r>
        <w:rPr>
          <w:rFonts w:hint="eastAsia" w:ascii="Times New Roman" w:hAnsi="Times New Roman" w:eastAsia="仿宋_GB2312" w:cs="Times New Roman"/>
          <w:b/>
          <w:color w:val="auto"/>
          <w:sz w:val="32"/>
          <w:szCs w:val="32"/>
          <w:highlight w:val="none"/>
          <w:lang w:eastAsia="zh-CN"/>
        </w:rPr>
        <w:t>深化平安交通建设</w:t>
      </w:r>
      <w:r>
        <w:rPr>
          <w:rFonts w:hint="eastAsia" w:ascii="Times New Roman" w:hAnsi="Times New Roman" w:eastAsia="仿宋_GB2312" w:cs="Times New Roman"/>
          <w:b/>
          <w:color w:val="auto"/>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SA"/>
        </w:rPr>
        <w:t>开展典型隐患治理“三必查、两必罚”行动，即企业第一责任人考核必查、培训教育必查、安全投入必查，对违章作业等重点隐患查实必罚，对违章作业等重大隐患屡查屡犯行为查实必罚。开展安全生产标准化提升专项行动巩固提高行动，推广标杆企业安全生产标准化创建和运行经验，推动全行业安全生产标准化形成良好运行机制。持续开展安全生产隐患大检查，聚焦“两客一危”、</w:t>
      </w:r>
      <w:r>
        <w:rPr>
          <w:rFonts w:hint="default" w:ascii="Times New Roman" w:hAnsi="Times New Roman" w:eastAsia="仿宋_GB2312" w:cs="仿宋_GB2312"/>
          <w:color w:val="auto"/>
          <w:kern w:val="2"/>
          <w:sz w:val="32"/>
          <w:szCs w:val="32"/>
          <w:highlight w:val="none"/>
          <w:lang w:val="en-US" w:eastAsia="zh-CN" w:bidi="ar-SA"/>
        </w:rPr>
        <w:t>内河水上交通、农村公路危险路段和危病桥整治、工程质量安全等</w:t>
      </w:r>
      <w:r>
        <w:rPr>
          <w:rFonts w:hint="eastAsia" w:ascii="Times New Roman" w:hAnsi="Times New Roman" w:eastAsia="仿宋_GB2312" w:cs="仿宋_GB2312"/>
          <w:color w:val="auto"/>
          <w:kern w:val="2"/>
          <w:sz w:val="32"/>
          <w:szCs w:val="32"/>
          <w:highlight w:val="none"/>
          <w:lang w:val="en-US" w:eastAsia="zh-CN" w:bidi="ar-SA"/>
        </w:rPr>
        <w:t>重点领域</w:t>
      </w:r>
      <w:r>
        <w:rPr>
          <w:rFonts w:hint="default" w:ascii="Times New Roman" w:hAnsi="Times New Roman" w:eastAsia="仿宋_GB2312" w:cs="仿宋_GB2312"/>
          <w:color w:val="auto"/>
          <w:kern w:val="2"/>
          <w:sz w:val="32"/>
          <w:szCs w:val="32"/>
          <w:highlight w:val="none"/>
          <w:lang w:val="en-US" w:eastAsia="zh-CN" w:bidi="ar-SA"/>
        </w:rPr>
        <w:t>和薄弱环节</w:t>
      </w:r>
      <w:r>
        <w:rPr>
          <w:rFonts w:hint="eastAsia" w:ascii="Times New Roman" w:hAnsi="Times New Roman" w:eastAsia="仿宋_GB2312" w:cs="仿宋_GB2312"/>
          <w:color w:val="auto"/>
          <w:kern w:val="2"/>
          <w:sz w:val="32"/>
          <w:szCs w:val="32"/>
          <w:highlight w:val="none"/>
          <w:lang w:val="en-US" w:eastAsia="zh-CN" w:bidi="ar-SA"/>
        </w:rPr>
        <w:t>开展专项整治，堵塞行业领域安全生产漏洞，夯实行业安全基础。推广360环景影像智能设备等新设备新技术，助力企业提升安全生产能力，组织好“春</w:t>
      </w:r>
      <w:r>
        <w:rPr>
          <w:rFonts w:hint="default" w:ascii="Times New Roman" w:hAnsi="Times New Roman" w:eastAsia="仿宋_GB2312" w:cs="仿宋_GB2312"/>
          <w:color w:val="auto"/>
          <w:kern w:val="2"/>
          <w:sz w:val="32"/>
          <w:szCs w:val="32"/>
          <w:highlight w:val="none"/>
          <w:lang w:val="en-US" w:eastAsia="zh-CN" w:bidi="ar-SA"/>
        </w:rPr>
        <w:t>运”“国庆”等重大节假日、黄金周期间以及两会等重大活动应急运输保障任务。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17</w:t>
      </w:r>
      <w:r>
        <w:rPr>
          <w:rFonts w:hint="eastAsia" w:ascii="Times New Roman" w:hAnsi="Times New Roman" w:eastAsia="仿宋_GB2312" w:cs="Times New Roman"/>
          <w:b/>
          <w:bCs/>
          <w:color w:val="auto"/>
          <w:sz w:val="32"/>
          <w:szCs w:val="32"/>
          <w:highlight w:val="none"/>
        </w:rPr>
        <w:t>.</w:t>
      </w:r>
      <w:r>
        <w:rPr>
          <w:rFonts w:hint="eastAsia" w:ascii="Times New Roman" w:hAnsi="Times New Roman" w:eastAsia="仿宋_GB2312"/>
          <w:b/>
          <w:color w:val="auto"/>
          <w:sz w:val="32"/>
          <w:szCs w:val="32"/>
          <w:highlight w:val="none"/>
        </w:rPr>
        <w:t>突出</w:t>
      </w:r>
      <w:r>
        <w:rPr>
          <w:rFonts w:hint="eastAsia" w:ascii="Times New Roman" w:hAnsi="Times New Roman" w:eastAsia="仿宋_GB2312"/>
          <w:b/>
          <w:color w:val="auto"/>
          <w:sz w:val="32"/>
          <w:szCs w:val="32"/>
          <w:highlight w:val="none"/>
          <w:lang w:eastAsia="zh-CN"/>
        </w:rPr>
        <w:t>平安综治建设</w:t>
      </w:r>
      <w:r>
        <w:rPr>
          <w:rFonts w:hint="eastAsia"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val="0"/>
          <w:bCs w:val="0"/>
          <w:color w:val="auto"/>
          <w:kern w:val="0"/>
          <w:sz w:val="32"/>
          <w:szCs w:val="32"/>
          <w:highlight w:val="none"/>
          <w:lang w:eastAsia="zh-CN"/>
        </w:rPr>
        <w:t>持续巩固交通运输领域平安建设工作成果，重点整治货车超限超载、客货运违法违规经营、水上非法经营、工程建设领域违法等突出问题，持续保持打击行业乱象高压态势。</w:t>
      </w:r>
      <w:r>
        <w:rPr>
          <w:rFonts w:hint="eastAsia" w:ascii="Times New Roman" w:hAnsi="Times New Roman" w:eastAsia="仿宋_GB2312" w:cs="Times New Roman"/>
          <w:b w:val="0"/>
          <w:bCs w:val="0"/>
          <w:color w:val="auto"/>
          <w:kern w:val="0"/>
          <w:sz w:val="32"/>
          <w:szCs w:val="32"/>
          <w:highlight w:val="none"/>
        </w:rPr>
        <w:t>密切关注</w:t>
      </w:r>
      <w:r>
        <w:rPr>
          <w:rFonts w:hint="eastAsia" w:ascii="Times New Roman" w:hAnsi="Times New Roman" w:eastAsia="仿宋_GB2312" w:cs="Times New Roman"/>
          <w:b w:val="0"/>
          <w:bCs w:val="0"/>
          <w:color w:val="auto"/>
          <w:kern w:val="0"/>
          <w:sz w:val="32"/>
          <w:szCs w:val="32"/>
          <w:highlight w:val="none"/>
          <w:lang w:eastAsia="zh-CN"/>
        </w:rPr>
        <w:t>渣土</w:t>
      </w:r>
      <w:r>
        <w:rPr>
          <w:rFonts w:hint="eastAsia" w:ascii="Times New Roman" w:hAnsi="Times New Roman" w:eastAsia="仿宋_GB2312" w:cs="Times New Roman"/>
          <w:b w:val="0"/>
          <w:bCs w:val="0"/>
          <w:color w:val="auto"/>
          <w:kern w:val="0"/>
          <w:sz w:val="32"/>
          <w:szCs w:val="32"/>
          <w:highlight w:val="none"/>
        </w:rPr>
        <w:t>车司机、出租车</w:t>
      </w:r>
      <w:r>
        <w:rPr>
          <w:rFonts w:hint="eastAsia" w:ascii="Times New Roman" w:hAnsi="Times New Roman" w:eastAsia="仿宋_GB2312" w:cs="Times New Roman"/>
          <w:b w:val="0"/>
          <w:bCs w:val="0"/>
          <w:color w:val="auto"/>
          <w:kern w:val="0"/>
          <w:sz w:val="32"/>
          <w:szCs w:val="32"/>
          <w:highlight w:val="none"/>
          <w:lang w:eastAsia="zh-CN"/>
        </w:rPr>
        <w:t>司机、建筑工地农民工</w:t>
      </w:r>
      <w:r>
        <w:rPr>
          <w:rFonts w:hint="eastAsia" w:ascii="Times New Roman" w:hAnsi="Times New Roman" w:eastAsia="仿宋_GB2312" w:cs="Times New Roman"/>
          <w:b w:val="0"/>
          <w:bCs w:val="0"/>
          <w:color w:val="auto"/>
          <w:kern w:val="0"/>
          <w:sz w:val="32"/>
          <w:szCs w:val="32"/>
          <w:highlight w:val="none"/>
        </w:rPr>
        <w:t>和交通运输新</w:t>
      </w:r>
      <w:r>
        <w:rPr>
          <w:rFonts w:hint="eastAsia" w:ascii="Times New Roman" w:hAnsi="Times New Roman" w:eastAsia="仿宋_GB2312" w:cs="Times New Roman"/>
          <w:color w:val="auto"/>
          <w:sz w:val="32"/>
          <w:szCs w:val="32"/>
          <w:highlight w:val="none"/>
        </w:rPr>
        <w:t>业态以及行业重大改革等重点领域、重点群体、重点问题、重点人员</w:t>
      </w:r>
      <w:r>
        <w:rPr>
          <w:rFonts w:hint="eastAsia" w:ascii="Times New Roman" w:hAnsi="Times New Roman" w:eastAsia="仿宋_GB2312" w:cs="Times New Roman"/>
          <w:color w:val="auto"/>
          <w:sz w:val="32"/>
          <w:szCs w:val="32"/>
          <w:highlight w:val="none"/>
          <w:lang w:eastAsia="zh-CN"/>
        </w:rPr>
        <w:t>困难问题，</w:t>
      </w:r>
      <w:r>
        <w:rPr>
          <w:rFonts w:hint="eastAsia" w:ascii="Times New Roman" w:hAnsi="Times New Roman" w:eastAsia="仿宋_GB2312" w:cs="Times New Roman"/>
          <w:color w:val="auto"/>
          <w:sz w:val="32"/>
          <w:szCs w:val="32"/>
          <w:highlight w:val="none"/>
        </w:rPr>
        <w:t>畅通信访渠道，落实维稳信访工作制度，</w:t>
      </w:r>
      <w:r>
        <w:rPr>
          <w:rFonts w:hint="eastAsia" w:ascii="Times New Roman" w:hAnsi="Times New Roman" w:eastAsia="仿宋_GB2312" w:cs="Times New Roman"/>
          <w:color w:val="auto"/>
          <w:sz w:val="32"/>
          <w:szCs w:val="32"/>
          <w:highlight w:val="none"/>
          <w:lang w:eastAsia="zh-CN"/>
        </w:rPr>
        <w:t>做好</w:t>
      </w:r>
      <w:r>
        <w:rPr>
          <w:rFonts w:hint="eastAsia" w:ascii="Times New Roman" w:hAnsi="Times New Roman" w:eastAsia="仿宋_GB2312"/>
          <w:color w:val="auto"/>
          <w:sz w:val="32"/>
          <w:szCs w:val="32"/>
          <w:highlight w:val="none"/>
        </w:rPr>
        <w:t>12345、12328</w:t>
      </w:r>
      <w:r>
        <w:rPr>
          <w:rFonts w:hint="eastAsia" w:ascii="Times New Roman" w:hAnsi="Times New Roman" w:eastAsia="仿宋_GB2312" w:cs="Times New Roman"/>
          <w:color w:val="auto"/>
          <w:sz w:val="32"/>
          <w:szCs w:val="32"/>
          <w:highlight w:val="none"/>
          <w:lang w:val="en-US" w:eastAsia="zh-CN"/>
        </w:rPr>
        <w:t>平台及信访投诉工作，</w:t>
      </w:r>
      <w:r>
        <w:rPr>
          <w:rFonts w:hint="eastAsia" w:ascii="Times New Roman" w:hAnsi="Times New Roman" w:eastAsia="仿宋_GB2312" w:cs="Times New Roman"/>
          <w:color w:val="auto"/>
          <w:sz w:val="32"/>
          <w:szCs w:val="32"/>
          <w:highlight w:val="none"/>
        </w:rPr>
        <w:t>深入基层一线开展矛盾纠纷排查调处工作，降低运输行业投诉率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全力维护好交通运输行业安定稳定。</w:t>
      </w:r>
    </w:p>
    <w:p>
      <w:pPr>
        <w:keepNext w:val="0"/>
        <w:keepLines w:val="0"/>
        <w:pageBreakBefore w:val="0"/>
        <w:widowControl w:val="0"/>
        <w:tabs>
          <w:tab w:val="left" w:pos="504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楷体_GB2312" w:cs="Times New Roman"/>
          <w:bCs/>
          <w:color w:val="auto"/>
          <w:sz w:val="32"/>
          <w:szCs w:val="32"/>
          <w:highlight w:val="none"/>
          <w:lang w:eastAsia="zh-CN"/>
        </w:rPr>
      </w:pPr>
      <w:r>
        <w:rPr>
          <w:rFonts w:hint="eastAsia"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sz w:val="32"/>
          <w:szCs w:val="32"/>
          <w:highlight w:val="none"/>
          <w:lang w:eastAsia="zh-CN"/>
        </w:rPr>
        <w:t>六</w:t>
      </w:r>
      <w:r>
        <w:rPr>
          <w:rFonts w:hint="eastAsia"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sz w:val="32"/>
          <w:szCs w:val="32"/>
          <w:highlight w:val="none"/>
          <w:lang w:eastAsia="zh-CN"/>
        </w:rPr>
        <w:t>持续强化行业监管，维护运输市场秩序平稳</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color w:val="auto"/>
          <w:highlight w:val="none"/>
          <w:lang w:eastAsia="zh-CN"/>
        </w:rPr>
      </w:pP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b/>
          <w:bCs/>
          <w:color w:val="auto"/>
          <w:spacing w:val="-6"/>
          <w:kern w:val="2"/>
          <w:sz w:val="32"/>
          <w:szCs w:val="32"/>
          <w:highlight w:val="none"/>
          <w:lang w:val="en-US" w:eastAsia="zh-CN" w:bidi="ar-SA"/>
        </w:rPr>
        <w:t>18.</w:t>
      </w:r>
      <w:r>
        <w:rPr>
          <w:rFonts w:hint="eastAsia" w:ascii="Times New Roman" w:hAnsi="Times New Roman" w:eastAsia="仿宋_GB2312"/>
          <w:b/>
          <w:color w:val="auto"/>
          <w:sz w:val="32"/>
          <w:szCs w:val="32"/>
          <w:highlight w:val="none"/>
        </w:rPr>
        <w:t>落实建设市场</w:t>
      </w:r>
      <w:r>
        <w:rPr>
          <w:rFonts w:hint="eastAsia" w:ascii="Times New Roman" w:hAnsi="Times New Roman" w:eastAsia="仿宋_GB2312"/>
          <w:b/>
          <w:color w:val="auto"/>
          <w:sz w:val="32"/>
          <w:szCs w:val="32"/>
          <w:highlight w:val="none"/>
          <w:lang w:eastAsia="zh-CN"/>
        </w:rPr>
        <w:t>监管。</w:t>
      </w:r>
      <w:r>
        <w:rPr>
          <w:rFonts w:hint="eastAsia" w:ascii="Times New Roman" w:hAnsi="Times New Roman" w:eastAsia="仿宋_GB2312" w:cs="Times New Roman"/>
          <w:b w:val="0"/>
          <w:bCs w:val="0"/>
          <w:color w:val="auto"/>
          <w:spacing w:val="-6"/>
          <w:kern w:val="2"/>
          <w:sz w:val="32"/>
          <w:szCs w:val="32"/>
          <w:highlight w:val="none"/>
          <w:lang w:val="en-US" w:eastAsia="zh-CN" w:bidi="ar-SA"/>
        </w:rPr>
        <w:t>扎实推进“平安百年品质工程”建设，坚持“一月一普查”，落实“双随机”“抽检监督、源头管控”等监管机制，结合采取多种方式组织巡查，加强对项目参建单位履行质量安全主体责任监管，强化质量安全保障措施，实现检查整改闭环管理。规范项目基建程序，督促指导项目业主单位严格按照国家基本建设程序和要求做好工可、设计、招标、施工等各个阶段工作，通过集中受理审查，并联审批审核，及时解决项目用地、用林等审批问题。落实信用考核工作机制，完善建设项目及从业单位基本信息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9" w:firstLineChars="200"/>
        <w:jc w:val="both"/>
        <w:textAlignment w:val="auto"/>
        <w:rPr>
          <w:rFonts w:hint="eastAsia" w:ascii="Times New Roman" w:hAnsi="Times New Roman" w:eastAsia="仿宋_GB2312" w:cs="Times New Roman"/>
          <w:b w:val="0"/>
          <w:bCs w:val="0"/>
          <w:color w:val="auto"/>
          <w:spacing w:val="-6"/>
          <w:kern w:val="2"/>
          <w:sz w:val="32"/>
          <w:szCs w:val="32"/>
          <w:highlight w:val="none"/>
          <w:lang w:val="en-US" w:eastAsia="zh-CN" w:bidi="ar-SA"/>
        </w:rPr>
      </w:pPr>
      <w:r>
        <w:rPr>
          <w:rFonts w:hint="eastAsia" w:ascii="Times New Roman" w:hAnsi="Times New Roman" w:eastAsia="楷体_GB2312" w:cs="楷体_GB2312"/>
          <w:b/>
          <w:bCs/>
          <w:color w:val="auto"/>
          <w:spacing w:val="-6"/>
          <w:kern w:val="2"/>
          <w:sz w:val="32"/>
          <w:szCs w:val="32"/>
          <w:highlight w:val="none"/>
          <w:lang w:val="en-US" w:eastAsia="zh-CN" w:bidi="ar-SA"/>
        </w:rPr>
        <w:t>19.落实运输源头监管。</w:t>
      </w:r>
      <w:r>
        <w:rPr>
          <w:rFonts w:hint="eastAsia" w:ascii="Times New Roman" w:hAnsi="Times New Roman" w:eastAsia="仿宋_GB2312" w:cs="Times New Roman"/>
          <w:b w:val="0"/>
          <w:bCs w:val="0"/>
          <w:color w:val="auto"/>
          <w:spacing w:val="-6"/>
          <w:kern w:val="2"/>
          <w:sz w:val="32"/>
          <w:szCs w:val="32"/>
          <w:highlight w:val="none"/>
          <w:lang w:val="en-US" w:eastAsia="zh-CN" w:bidi="ar-SA"/>
        </w:rPr>
        <w:t>加强运输企业“三关一监督”源头管理，强化运输企业资质管理、质量信誉考核和道路运输车辆动态监控管理水平，加强出租汽车、网约车优质服务监管，督促客运企业落实“</w:t>
      </w:r>
      <w:r>
        <w:rPr>
          <w:rFonts w:hint="eastAsia" w:ascii="Times New Roman" w:hAnsi="Times New Roman" w:eastAsia="仿宋_GB2312"/>
          <w:color w:val="auto"/>
          <w:spacing w:val="-6"/>
          <w:sz w:val="32"/>
          <w:szCs w:val="32"/>
          <w:highlight w:val="none"/>
        </w:rPr>
        <w:t>三不进站，八不出站</w:t>
      </w:r>
      <w:r>
        <w:rPr>
          <w:rFonts w:hint="eastAsia" w:ascii="Times New Roman" w:hAnsi="Times New Roman" w:eastAsia="仿宋_GB2312" w:cs="Times New Roman"/>
          <w:b w:val="0"/>
          <w:bCs w:val="0"/>
          <w:color w:val="auto"/>
          <w:spacing w:val="-6"/>
          <w:kern w:val="2"/>
          <w:sz w:val="32"/>
          <w:szCs w:val="32"/>
          <w:highlight w:val="none"/>
          <w:lang w:val="en-US" w:eastAsia="zh-CN" w:bidi="ar-SA"/>
        </w:rPr>
        <w:t xml:space="preserve">”、长途客运省市际班车实名制和行包安检、客运车辆凌晨“2-5时”停车休息或接驳等制度，督促货运物流企业落实托运人身份、物品信息登记制度，督促零担道路货物运输企业按规定比例对托运物品进行抽查检查，配合公安部门对重大活动期间发往重点时段、运往重点区域和特殊场所的货物进行拆包验视，督促和指导企业加强从业人员管理和规范经营，提高安全生产管理水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19"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楷体_GB2312" w:cs="楷体_GB2312"/>
          <w:b/>
          <w:bCs/>
          <w:color w:val="auto"/>
          <w:spacing w:val="-6"/>
          <w:kern w:val="2"/>
          <w:sz w:val="32"/>
          <w:szCs w:val="32"/>
          <w:highlight w:val="none"/>
          <w:lang w:val="en-US" w:eastAsia="zh-CN" w:bidi="ar-SA"/>
        </w:rPr>
        <w:t>20.落实交通执法监管。</w:t>
      </w:r>
      <w:r>
        <w:rPr>
          <w:rFonts w:hint="eastAsia" w:ascii="Times New Roman" w:hAnsi="Times New Roman" w:eastAsia="仿宋_GB2312" w:cs="仿宋_GB2312"/>
          <w:color w:val="auto"/>
          <w:sz w:val="32"/>
          <w:szCs w:val="32"/>
          <w:highlight w:val="none"/>
          <w:lang w:val="en-US" w:eastAsia="zh-CN"/>
        </w:rPr>
        <w:t>加强常态化执法、“主题式”专项执法和多部门联合执法，</w:t>
      </w:r>
      <w:r>
        <w:rPr>
          <w:rFonts w:hint="eastAsia" w:ascii="Times New Roman" w:hAnsi="Times New Roman" w:eastAsia="仿宋_GB2312" w:cs="Times New Roman"/>
          <w:color w:val="auto"/>
          <w:sz w:val="32"/>
          <w:szCs w:val="32"/>
          <w:highlight w:val="none"/>
        </w:rPr>
        <w:t>加强执法监管检查辖区责任制落实，加强重点场站、路段、区域的监督检查力度，重点打击“两客一危”</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“黑车”非法</w:t>
      </w:r>
      <w:r>
        <w:rPr>
          <w:rFonts w:hint="eastAsia" w:ascii="Times New Roman" w:hAnsi="Times New Roman" w:eastAsia="仿宋_GB2312" w:cs="Times New Roman"/>
          <w:color w:val="auto"/>
          <w:sz w:val="32"/>
          <w:szCs w:val="32"/>
          <w:highlight w:val="none"/>
          <w:lang w:eastAsia="zh-CN"/>
        </w:rPr>
        <w:t>客</w:t>
      </w:r>
      <w:r>
        <w:rPr>
          <w:rFonts w:hint="eastAsia" w:ascii="Times New Roman" w:hAnsi="Times New Roman" w:eastAsia="仿宋_GB2312" w:cs="Times New Roman"/>
          <w:color w:val="auto"/>
          <w:sz w:val="32"/>
          <w:szCs w:val="32"/>
          <w:highlight w:val="none"/>
        </w:rPr>
        <w:t>运</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营转非</w:t>
      </w:r>
      <w:r>
        <w:rPr>
          <w:rFonts w:hint="eastAsia"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val="en-US" w:eastAsia="zh-CN"/>
        </w:rPr>
        <w:t>货运车辆非法改装</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b w:val="0"/>
          <w:bCs w:val="0"/>
          <w:color w:val="auto"/>
          <w:spacing w:val="0"/>
          <w:w w:val="100"/>
          <w:kern w:val="0"/>
          <w:position w:val="0"/>
          <w:sz w:val="32"/>
          <w:szCs w:val="32"/>
          <w:highlight w:val="none"/>
          <w:shd w:val="clear" w:color="auto" w:fill="auto"/>
          <w:lang w:val="en-US" w:eastAsia="zh-CN" w:bidi="ar"/>
        </w:rPr>
        <w:t>非法违法经营行为</w:t>
      </w:r>
      <w:r>
        <w:rPr>
          <w:rFonts w:hint="eastAsia" w:ascii="Times New Roman" w:hAnsi="Times New Roman" w:eastAsia="仿宋_GB2312" w:cs="Times New Roman"/>
          <w:color w:val="auto"/>
          <w:sz w:val="32"/>
          <w:szCs w:val="32"/>
          <w:highlight w:val="none"/>
          <w:lang w:eastAsia="zh-CN"/>
        </w:rPr>
        <w:t>。强化</w:t>
      </w:r>
      <w:r>
        <w:rPr>
          <w:rFonts w:hint="eastAsia" w:ascii="Times New Roman" w:hAnsi="Times New Roman" w:eastAsia="仿宋_GB2312" w:cs="Times New Roman"/>
          <w:b w:val="0"/>
          <w:bCs w:val="0"/>
          <w:color w:val="auto"/>
          <w:spacing w:val="0"/>
          <w:w w:val="100"/>
          <w:kern w:val="0"/>
          <w:position w:val="0"/>
          <w:sz w:val="32"/>
          <w:szCs w:val="32"/>
          <w:highlight w:val="none"/>
          <w:u w:val="none"/>
          <w:shd w:val="clear" w:color="auto" w:fill="auto"/>
          <w:lang w:val="en-US" w:eastAsia="zh-CN" w:bidi="ar"/>
        </w:rPr>
        <w:t>“两客一危一货”企业源头执法检查，开展车辆卫星定位监控监督检查。</w:t>
      </w:r>
      <w:r>
        <w:rPr>
          <w:rFonts w:hint="eastAsia" w:ascii="Times New Roman" w:hAnsi="Times New Roman" w:eastAsia="仿宋_GB2312" w:cs="Times New Roman"/>
          <w:color w:val="auto"/>
          <w:sz w:val="32"/>
          <w:szCs w:val="32"/>
          <w:highlight w:val="none"/>
        </w:rPr>
        <w:t>强化出租汽车、驾培、租赁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维修</w:t>
      </w:r>
      <w:r>
        <w:rPr>
          <w:rFonts w:hint="eastAsia" w:ascii="Times New Roman" w:hAnsi="Times New Roman" w:eastAsia="仿宋_GB2312" w:cs="Times New Roman"/>
          <w:color w:val="auto"/>
          <w:sz w:val="32"/>
          <w:szCs w:val="32"/>
          <w:highlight w:val="none"/>
        </w:rPr>
        <w:t>市场检查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强化</w:t>
      </w:r>
      <w:r>
        <w:rPr>
          <w:rFonts w:hint="eastAsia" w:ascii="Times New Roman" w:hAnsi="Times New Roman" w:eastAsia="仿宋_GB2312" w:cs="Times New Roman"/>
          <w:b w:val="0"/>
          <w:bCs w:val="0"/>
          <w:color w:val="auto"/>
          <w:spacing w:val="0"/>
          <w:w w:val="100"/>
          <w:kern w:val="0"/>
          <w:position w:val="0"/>
          <w:sz w:val="32"/>
          <w:szCs w:val="32"/>
          <w:highlight w:val="none"/>
          <w:shd w:val="clear" w:color="auto" w:fill="auto"/>
          <w:lang w:val="en-US" w:eastAsia="zh-CN" w:bidi="ar"/>
        </w:rPr>
        <w:t>货运服务（含寄递行业）执法监管</w:t>
      </w:r>
      <w:r>
        <w:rPr>
          <w:rFonts w:hint="default" w:ascii="Times New Roman" w:hAnsi="Times New Roman" w:eastAsia="仿宋_GB2312" w:cs="Times New Roman"/>
          <w:color w:val="auto"/>
          <w:sz w:val="32"/>
          <w:szCs w:val="32"/>
          <w:highlight w:val="none"/>
          <w:lang w:val="en-US" w:eastAsia="zh-CN"/>
        </w:rPr>
        <w:t>。强化公路路政监管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推进路域环境综合整治及违法超限运输治理工作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强化内河交通安全（水路运输）监管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严打内河</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三无</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船舶、非客运船舶非法载客、超限运输等违规行为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配合公安、教育部门做好校车安全整治。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楷体_GB2312" w:cs="Times New Roman"/>
          <w:bCs/>
          <w:color w:val="auto"/>
          <w:sz w:val="32"/>
          <w:szCs w:val="32"/>
          <w:highlight w:val="none"/>
          <w:lang w:eastAsia="zh-CN"/>
        </w:rPr>
      </w:pPr>
      <w:r>
        <w:rPr>
          <w:rFonts w:hint="eastAsia"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sz w:val="32"/>
          <w:szCs w:val="32"/>
          <w:highlight w:val="none"/>
          <w:lang w:eastAsia="zh-CN"/>
        </w:rPr>
        <w:t>七</w:t>
      </w:r>
      <w:r>
        <w:rPr>
          <w:rFonts w:hint="eastAsia"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sz w:val="32"/>
          <w:szCs w:val="32"/>
          <w:highlight w:val="none"/>
          <w:lang w:eastAsia="zh-CN"/>
        </w:rPr>
        <w:t>全面加强党的建设</w:t>
      </w:r>
      <w:r>
        <w:rPr>
          <w:rFonts w:hint="eastAsia"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sz w:val="32"/>
          <w:szCs w:val="32"/>
          <w:highlight w:val="none"/>
          <w:lang w:val="en-US" w:eastAsia="zh-CN"/>
        </w:rPr>
        <w:t>凝聚</w:t>
      </w:r>
      <w:r>
        <w:rPr>
          <w:rFonts w:hint="eastAsia" w:ascii="Times New Roman" w:hAnsi="Times New Roman" w:eastAsia="楷体_GB2312" w:cs="Times New Roman"/>
          <w:bCs/>
          <w:color w:val="auto"/>
          <w:sz w:val="32"/>
          <w:szCs w:val="32"/>
          <w:highlight w:val="none"/>
          <w:lang w:eastAsia="zh-CN"/>
        </w:rPr>
        <w:t>交通强市发展合力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b/>
          <w:bCs/>
          <w:color w:val="auto"/>
          <w:kern w:val="0"/>
          <w:sz w:val="32"/>
          <w:szCs w:val="32"/>
          <w:highlight w:val="none"/>
          <w:lang w:val="en-US" w:eastAsia="zh-CN"/>
        </w:rPr>
        <w:t>21</w:t>
      </w:r>
      <w:r>
        <w:rPr>
          <w:rFonts w:hint="eastAsia" w:ascii="Times New Roman" w:hAnsi="Times New Roman" w:eastAsia="仿宋_GB2312" w:cs="Times New Roman"/>
          <w:b/>
          <w:bCs/>
          <w:color w:val="auto"/>
          <w:kern w:val="0"/>
          <w:sz w:val="32"/>
          <w:szCs w:val="32"/>
          <w:highlight w:val="none"/>
        </w:rPr>
        <w:t>.</w:t>
      </w:r>
      <w:r>
        <w:rPr>
          <w:rFonts w:hint="eastAsia" w:ascii="Times New Roman" w:hAnsi="Times New Roman" w:eastAsia="仿宋_GB2312" w:cs="Times New Roman"/>
          <w:b/>
          <w:bCs/>
          <w:color w:val="auto"/>
          <w:kern w:val="0"/>
          <w:sz w:val="32"/>
          <w:szCs w:val="32"/>
          <w:highlight w:val="none"/>
          <w:lang w:eastAsia="zh-CN"/>
        </w:rPr>
        <w:t>强化政治建设</w:t>
      </w:r>
      <w:r>
        <w:rPr>
          <w:rFonts w:hint="eastAsia" w:ascii="Times New Roman" w:hAnsi="Times New Roman" w:eastAsia="仿宋_GB2312" w:cs="Times New Roman"/>
          <w:b/>
          <w:bCs/>
          <w:color w:val="auto"/>
          <w:kern w:val="0"/>
          <w:sz w:val="32"/>
          <w:szCs w:val="32"/>
          <w:highlight w:val="none"/>
        </w:rPr>
        <w:t>。</w:t>
      </w:r>
      <w:r>
        <w:rPr>
          <w:rFonts w:hint="eastAsia" w:ascii="Times New Roman" w:hAnsi="Times New Roman" w:eastAsia="仿宋_GB2312" w:cs="Times New Roman"/>
          <w:color w:val="auto"/>
          <w:kern w:val="0"/>
          <w:sz w:val="32"/>
          <w:szCs w:val="32"/>
          <w:highlight w:val="none"/>
        </w:rPr>
        <w:t>以提升政治功能和组织力为重点，</w:t>
      </w:r>
      <w:r>
        <w:rPr>
          <w:rFonts w:hint="eastAsia" w:ascii="Times New Roman" w:hAnsi="Times New Roman" w:eastAsia="仿宋_GB2312" w:cs="Times New Roman"/>
          <w:color w:val="auto"/>
          <w:kern w:val="0"/>
          <w:sz w:val="32"/>
          <w:szCs w:val="32"/>
          <w:highlight w:val="none"/>
          <w:lang w:eastAsia="zh-CN"/>
        </w:rPr>
        <w:t>以模范机关创建为重要抓手，坚持把学习和宣传贯彻党的二十大精神作为首要政治任务，持续巩固党史学习教育成果，引导党员干部</w:t>
      </w:r>
      <w:r>
        <w:rPr>
          <w:rFonts w:hint="eastAsia" w:ascii="Times New Roman" w:hAnsi="Times New Roman" w:eastAsia="仿宋_GB2312" w:cs="Times New Roman"/>
          <w:color w:val="auto"/>
          <w:kern w:val="0"/>
          <w:sz w:val="32"/>
          <w:szCs w:val="32"/>
          <w:highlight w:val="none"/>
          <w:lang w:val="en-US" w:eastAsia="zh-CN"/>
        </w:rPr>
        <w:t>牢记“两个确立”，做到“两个维护”，</w:t>
      </w:r>
      <w:r>
        <w:rPr>
          <w:rFonts w:hint="eastAsia" w:ascii="Times New Roman" w:hAnsi="Times New Roman" w:eastAsia="仿宋_GB2312" w:cs="Times New Roman"/>
          <w:color w:val="auto"/>
          <w:kern w:val="0"/>
          <w:sz w:val="32"/>
          <w:szCs w:val="32"/>
          <w:highlight w:val="none"/>
          <w:lang w:eastAsia="zh-CN"/>
        </w:rPr>
        <w:t>落实落细习近平总书记重要讲话重要指示批示精神和党中央决策部署，准确把握省委、泉州市委和市委的新要求，推动交通运输高质量发展。进一步落实意识形态工作责任制，扎实开展意识领域风险排查，维护网络政治生态安全，守好交通意识形态阵地。</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
          <w:bCs/>
          <w:color w:val="auto"/>
          <w:kern w:val="0"/>
          <w:sz w:val="32"/>
          <w:szCs w:val="32"/>
          <w:highlight w:val="none"/>
          <w:lang w:val="en-US" w:eastAsia="zh-CN"/>
        </w:rPr>
        <w:t>22.夯实基层基础。</w:t>
      </w:r>
      <w:r>
        <w:rPr>
          <w:rFonts w:hint="eastAsia" w:ascii="Times New Roman" w:hAnsi="Times New Roman" w:eastAsia="仿宋_GB2312" w:cs="Times New Roman"/>
          <w:bCs/>
          <w:color w:val="auto"/>
          <w:sz w:val="32"/>
          <w:szCs w:val="32"/>
          <w:highlight w:val="none"/>
          <w:lang w:val="en-US" w:eastAsia="zh-CN"/>
        </w:rPr>
        <w:t>完善基层党组织书记述职评议考核机制，层层落实党建责任。完善党委理论学习中心组学习制度，推进学习型党组织建设。推深做实“党建+”邻里中心建设，</w:t>
      </w:r>
      <w:r>
        <w:rPr>
          <w:rFonts w:hint="eastAsia" w:ascii="Times New Roman" w:hAnsi="Times New Roman" w:eastAsia="仿宋_GB2312" w:cs="Times New Roman"/>
          <w:color w:val="auto"/>
          <w:kern w:val="0"/>
          <w:sz w:val="32"/>
          <w:szCs w:val="32"/>
          <w:highlight w:val="none"/>
          <w:lang w:eastAsia="zh-CN"/>
        </w:rPr>
        <w:t>完善落实“我为群众办实事”长效机制，</w:t>
      </w:r>
      <w:r>
        <w:rPr>
          <w:rFonts w:hint="eastAsia" w:ascii="Times New Roman" w:hAnsi="Times New Roman" w:eastAsia="仿宋_GB2312" w:cs="Times New Roman"/>
          <w:bCs/>
          <w:color w:val="auto"/>
          <w:sz w:val="32"/>
          <w:szCs w:val="32"/>
          <w:highlight w:val="none"/>
          <w:lang w:eastAsia="zh-CN"/>
        </w:rPr>
        <w:t>深入党建引领当好“开路先锋”品牌建设，开展党建“一单位一品牌、一支部一特色”创建活动，推动党建和业务深度融</w:t>
      </w:r>
      <w:r>
        <w:rPr>
          <w:rFonts w:hint="eastAsia" w:ascii="Times New Roman" w:hAnsi="Times New Roman" w:eastAsia="仿宋_GB2312" w:cs="Times New Roman"/>
          <w:bCs/>
          <w:color w:val="auto"/>
          <w:sz w:val="32"/>
          <w:szCs w:val="32"/>
          <w:highlight w:val="none"/>
          <w:lang w:val="en-US" w:eastAsia="zh-CN"/>
        </w:rPr>
        <w:t>合。支持工青妇工作，优化提升离退休干部工作。</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b/>
          <w:bCs/>
          <w:color w:val="auto"/>
          <w:kern w:val="0"/>
          <w:sz w:val="32"/>
          <w:szCs w:val="32"/>
          <w:highlight w:val="none"/>
          <w:lang w:val="en-US" w:eastAsia="zh-CN"/>
        </w:rPr>
        <w:t>23.持续正风肃纪。</w:t>
      </w:r>
      <w:r>
        <w:rPr>
          <w:rFonts w:hint="eastAsia" w:ascii="Times New Roman" w:hAnsi="Times New Roman" w:eastAsia="仿宋_GB2312" w:cs="Times New Roman"/>
          <w:color w:val="auto"/>
          <w:kern w:val="0"/>
          <w:sz w:val="32"/>
          <w:szCs w:val="32"/>
          <w:highlight w:val="none"/>
          <w:lang w:val="en-US" w:eastAsia="zh-CN"/>
        </w:rPr>
        <w:t>严格落实全面从严治党主体责任，</w:t>
      </w:r>
      <w:r>
        <w:rPr>
          <w:rFonts w:hint="eastAsia" w:ascii="Times New Roman" w:hAnsi="Times New Roman" w:eastAsia="仿宋_GB2312" w:cs="Times New Roman"/>
          <w:color w:val="auto"/>
          <w:kern w:val="0"/>
          <w:sz w:val="32"/>
          <w:szCs w:val="32"/>
          <w:highlight w:val="none"/>
          <w:lang w:eastAsia="zh-CN"/>
        </w:rPr>
        <w:t>坚持“一季度一专题”党风廉政教育，推进新时代廉洁文化建设，落实廉政谈话提醒、函询和诫勉等制度，</w:t>
      </w:r>
      <w:r>
        <w:rPr>
          <w:rFonts w:hint="eastAsia" w:ascii="Times New Roman" w:hAnsi="Times New Roman" w:eastAsia="仿宋_GB2312" w:cs="Times New Roman"/>
          <w:color w:val="auto"/>
          <w:kern w:val="0"/>
          <w:sz w:val="32"/>
          <w:szCs w:val="32"/>
          <w:highlight w:val="none"/>
          <w:lang w:val="en-US" w:eastAsia="zh-CN"/>
        </w:rPr>
        <w:t>推进政治监督具体化，抓好“关键少数”，严格落实民主集中制、“三重一大”集体决策制度。</w:t>
      </w:r>
      <w:r>
        <w:rPr>
          <w:rFonts w:hint="eastAsia" w:ascii="Times New Roman" w:hAnsi="Times New Roman" w:eastAsia="仿宋_GB2312" w:cs="Times New Roman"/>
          <w:color w:val="auto"/>
          <w:kern w:val="0"/>
          <w:sz w:val="32"/>
          <w:szCs w:val="32"/>
          <w:highlight w:val="none"/>
          <w:lang w:eastAsia="zh-CN"/>
        </w:rPr>
        <w:t>重点抓好项目建设、审核审批、行政执法、选人用人、行业信用考核等重点领域的廉政风险防控，巩固提升“</w:t>
      </w:r>
      <w:r>
        <w:rPr>
          <w:rFonts w:hint="eastAsia" w:ascii="Times New Roman" w:hAnsi="Times New Roman" w:eastAsia="仿宋_GB2312" w:cs="Times New Roman"/>
          <w:color w:val="auto"/>
          <w:kern w:val="0"/>
          <w:sz w:val="32"/>
          <w:szCs w:val="32"/>
          <w:highlight w:val="none"/>
          <w:lang w:val="en-US" w:eastAsia="zh-CN"/>
        </w:rPr>
        <w:t>1+X</w:t>
      </w:r>
      <w:r>
        <w:rPr>
          <w:rFonts w:hint="eastAsia" w:ascii="Times New Roman" w:hAnsi="Times New Roman" w:eastAsia="仿宋_GB2312" w:cs="Times New Roman"/>
          <w:color w:val="auto"/>
          <w:kern w:val="0"/>
          <w:sz w:val="32"/>
          <w:szCs w:val="32"/>
          <w:highlight w:val="none"/>
          <w:lang w:eastAsia="zh-CN"/>
        </w:rPr>
        <w:t>”督查成效，</w:t>
      </w:r>
      <w:r>
        <w:rPr>
          <w:rFonts w:hint="eastAsia" w:ascii="Times New Roman" w:hAnsi="Times New Roman" w:eastAsia="仿宋_GB2312" w:cs="Times New Roman"/>
          <w:color w:val="auto"/>
          <w:kern w:val="0"/>
          <w:sz w:val="32"/>
          <w:szCs w:val="32"/>
          <w:highlight w:val="none"/>
          <w:lang w:val="en-US" w:eastAsia="zh-CN"/>
        </w:rPr>
        <w:t>一体推进“三不腐”建设。弘扬斗争精神，</w:t>
      </w:r>
      <w:r>
        <w:rPr>
          <w:rFonts w:hint="eastAsia" w:ascii="Times New Roman" w:hAnsi="Times New Roman" w:eastAsia="仿宋_GB2312" w:cs="Times New Roman"/>
          <w:color w:val="auto"/>
          <w:kern w:val="0"/>
          <w:sz w:val="32"/>
          <w:szCs w:val="32"/>
          <w:highlight w:val="none"/>
          <w:lang w:eastAsia="zh-CN"/>
        </w:rPr>
        <w:t>持之以恒落实中央八项规定及实施细则精神，深化形式主义、官僚主义整治，毫不松懈纠治“四风”。</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rPr>
        <w:t>24.建强干部队伍。</w:t>
      </w:r>
      <w:r>
        <w:rPr>
          <w:rFonts w:hint="eastAsia" w:ascii="Times New Roman" w:hAnsi="Times New Roman" w:eastAsia="仿宋_GB2312" w:cs="仿宋_GB2312"/>
          <w:b w:val="0"/>
          <w:bCs w:val="0"/>
          <w:color w:val="auto"/>
          <w:kern w:val="2"/>
          <w:sz w:val="32"/>
          <w:szCs w:val="32"/>
          <w:highlight w:val="none"/>
          <w:lang w:val="en-US" w:eastAsia="zh-CN" w:bidi="ar-SA"/>
        </w:rPr>
        <w:t>深入开展“深学争优、敢为争先、实干争效”行动，树牢</w:t>
      </w:r>
      <w:r>
        <w:rPr>
          <w:rFonts w:hint="eastAsia" w:ascii="Times New Roman" w:hAnsi="Times New Roman" w:eastAsia="仿宋_GB2312" w:cs="Times New Roman"/>
          <w:color w:val="auto"/>
          <w:kern w:val="0"/>
          <w:sz w:val="32"/>
          <w:szCs w:val="32"/>
          <w:highlight w:val="none"/>
          <w:lang w:val="en-US" w:eastAsia="zh-CN" w:bidi="ar-SA"/>
        </w:rPr>
        <w:t>政治过硬、实干实绩的用人导向，健全干部考察和平时考核体系，统筹用好职务提任、职称评聘、荣誉表彰等组织措施，激励干部担当作为。加强培训教育力度，严格规范公正文明</w:t>
      </w:r>
      <w:r>
        <w:rPr>
          <w:rFonts w:hint="default" w:ascii="Times New Roman" w:hAnsi="Times New Roman" w:eastAsia="仿宋_GB2312" w:cs="Times New Roman"/>
          <w:color w:val="auto"/>
          <w:kern w:val="0"/>
          <w:sz w:val="32"/>
          <w:szCs w:val="32"/>
          <w:highlight w:val="none"/>
          <w:lang w:val="en-US" w:eastAsia="zh-CN" w:bidi="ar-SA"/>
        </w:rPr>
        <w:t>执法</w:t>
      </w:r>
      <w:r>
        <w:rPr>
          <w:rFonts w:hint="eastAsia" w:ascii="Times New Roman" w:hAnsi="Times New Roman" w:eastAsia="仿宋_GB2312" w:cs="Times New Roman"/>
          <w:color w:val="auto"/>
          <w:kern w:val="0"/>
          <w:sz w:val="32"/>
          <w:szCs w:val="32"/>
          <w:highlight w:val="none"/>
          <w:lang w:val="en-US" w:eastAsia="zh-CN" w:bidi="ar-SA"/>
        </w:rPr>
        <w:t>，注意用大工程、大运输、大执法观念提升队伍素质能力，持续打造政治过硬、本领高强、作风过硬的忠诚、干净、担当的高素质专业化人才队伍。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25</w:t>
      </w:r>
      <w:r>
        <w:rPr>
          <w:rFonts w:hint="eastAsia"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color w:val="auto"/>
          <w:sz w:val="32"/>
          <w:szCs w:val="32"/>
          <w:highlight w:val="none"/>
          <w:lang w:eastAsia="zh-CN"/>
        </w:rPr>
        <w:t>提升行业形象。</w:t>
      </w:r>
      <w:r>
        <w:rPr>
          <w:rFonts w:hint="eastAsia" w:ascii="Times New Roman" w:hAnsi="Times New Roman" w:eastAsia="仿宋_GB2312" w:cs="Times New Roman"/>
          <w:bCs/>
          <w:color w:val="auto"/>
          <w:sz w:val="32"/>
          <w:szCs w:val="32"/>
          <w:highlight w:val="none"/>
          <w:lang w:eastAsia="zh-CN"/>
        </w:rPr>
        <w:t>做好2023-2025年新一届泉州级文明单位申报创建工作，深化文明创建成果。弘扬新时代交通精神，培育选树先进典型，聚焦中心工作、重点项目、运输服务等建设管理服务一线典型，努力建设一批具有交通运输行业特色的文化和服务品牌，持续提升交通新闻宣传“软实力”，讲好交通故事、传播交通声音，弘扬交通正能量。</w:t>
      </w:r>
    </w:p>
    <w:p>
      <w:pPr>
        <w:pStyle w:val="2"/>
        <w:ind w:left="0" w:leftChars="0" w:firstLine="0" w:firstLineChars="0"/>
        <w:rPr>
          <w:rFonts w:ascii="Times New Roman" w:hAnsi="Times New Roman"/>
          <w:color w:val="auto"/>
          <w:highlight w:val="none"/>
        </w:rPr>
      </w:pPr>
    </w:p>
    <w:p>
      <w:pPr>
        <w:pStyle w:val="2"/>
        <w:ind w:left="0" w:leftChars="0" w:firstLine="0" w:firstLineChars="0"/>
        <w:rPr>
          <w:rFonts w:ascii="Times New Roman" w:hAnsi="Times New Roman"/>
        </w:rPr>
      </w:pPr>
    </w:p>
    <w:tbl>
      <w:tblPr>
        <w:tblStyle w:val="10"/>
        <w:tblpPr w:leftFromText="180" w:rightFromText="180" w:vertAnchor="text" w:horzAnchor="page" w:tblpX="1718" w:tblpY="8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45" w:type="dxa"/>
            <w:tcBorders>
              <w:left w:val="nil"/>
              <w:right w:val="nil"/>
            </w:tcBorders>
            <w:vAlign w:val="top"/>
          </w:tcPr>
          <w:p>
            <w:pPr>
              <w:pStyle w:val="9"/>
              <w:keepNext w:val="0"/>
              <w:keepLines w:val="0"/>
              <w:pageBreakBefore w:val="0"/>
              <w:widowControl w:val="0"/>
              <w:kinsoku/>
              <w:wordWrap/>
              <w:overflowPunct/>
              <w:topLinePunct w:val="0"/>
              <w:autoSpaceDE/>
              <w:autoSpaceDN/>
              <w:bidi w:val="0"/>
              <w:adjustRightInd/>
              <w:snapToGrid/>
              <w:spacing w:after="0" w:line="580" w:lineRule="exact"/>
              <w:ind w:left="840" w:leftChars="0" w:right="0" w:hanging="840" w:hangingChars="300"/>
              <w:jc w:val="both"/>
              <w:textAlignment w:val="auto"/>
              <w:rPr>
                <w:rFonts w:hint="eastAsia" w:ascii="Times New Roman" w:hAnsi="Times New Roman" w:eastAsia="仿宋_GB2312"/>
                <w:color w:val="auto"/>
                <w:sz w:val="28"/>
                <w:szCs w:val="28"/>
                <w:highlight w:val="none"/>
                <w:lang w:eastAsia="zh-CN"/>
              </w:rPr>
            </w:pPr>
            <w:r>
              <w:rPr>
                <w:rFonts w:hint="eastAsia" w:ascii="Times New Roman" w:hAnsi="Times New Roman" w:eastAsia="仿宋_GB2312"/>
                <w:color w:val="auto"/>
                <w:sz w:val="28"/>
                <w:szCs w:val="28"/>
                <w:highlight w:val="none"/>
                <w:u w:val="none"/>
              </w:rPr>
              <w:t>抄送：泉州市交通</w:t>
            </w:r>
            <w:r>
              <w:rPr>
                <w:rFonts w:hint="eastAsia" w:ascii="Times New Roman" w:hAnsi="Times New Roman" w:eastAsia="仿宋_GB2312"/>
                <w:color w:val="auto"/>
                <w:sz w:val="28"/>
                <w:szCs w:val="28"/>
                <w:highlight w:val="none"/>
                <w:u w:val="none"/>
                <w:lang w:eastAsia="zh-CN"/>
              </w:rPr>
              <w:t>运输局</w:t>
            </w:r>
            <w:r>
              <w:rPr>
                <w:rFonts w:hint="eastAsia" w:ascii="Times New Roman" w:hAnsi="Times New Roman" w:eastAsia="仿宋_GB2312"/>
                <w:color w:val="auto"/>
                <w:sz w:val="28"/>
                <w:szCs w:val="28"/>
                <w:highlight w:val="none"/>
                <w:u w:val="none"/>
              </w:rPr>
              <w:t>、</w:t>
            </w:r>
            <w:r>
              <w:rPr>
                <w:rFonts w:hint="eastAsia" w:ascii="Times New Roman" w:hAnsi="Times New Roman" w:eastAsia="仿宋_GB2312"/>
                <w:color w:val="auto"/>
                <w:sz w:val="28"/>
                <w:szCs w:val="28"/>
                <w:highlight w:val="none"/>
                <w:u w:val="none"/>
                <w:lang w:eastAsia="zh-CN"/>
              </w:rPr>
              <w:t>道路运输发展中心</w:t>
            </w:r>
            <w:r>
              <w:rPr>
                <w:rFonts w:hint="eastAsia" w:ascii="Times New Roman" w:hAnsi="Times New Roman" w:eastAsia="仿宋_GB2312"/>
                <w:color w:val="auto"/>
                <w:sz w:val="28"/>
                <w:szCs w:val="28"/>
                <w:highlight w:val="none"/>
                <w:u w:val="none"/>
              </w:rPr>
              <w:t>、</w:t>
            </w:r>
            <w:r>
              <w:rPr>
                <w:rFonts w:hint="eastAsia" w:ascii="Times New Roman" w:hAnsi="Times New Roman" w:eastAsia="仿宋_GB2312"/>
                <w:color w:val="auto"/>
                <w:sz w:val="28"/>
                <w:szCs w:val="28"/>
                <w:highlight w:val="none"/>
                <w:u w:val="none"/>
                <w:lang w:eastAsia="zh-CN"/>
              </w:rPr>
              <w:t>水路运输发展中心、</w:t>
            </w:r>
            <w:r>
              <w:rPr>
                <w:rFonts w:hint="eastAsia" w:ascii="Times New Roman" w:hAnsi="Times New Roman" w:eastAsia="仿宋_GB2312"/>
                <w:color w:val="auto"/>
                <w:sz w:val="28"/>
                <w:szCs w:val="28"/>
                <w:highlight w:val="none"/>
                <w:u w:val="none"/>
              </w:rPr>
              <w:t>交通执法支队，南安市委办、人大办、政府办、政协办、纪委办、公路分</w:t>
            </w:r>
            <w:r>
              <w:rPr>
                <w:rFonts w:hint="eastAsia" w:ascii="Times New Roman" w:hAnsi="Times New Roman" w:eastAsia="仿宋_GB2312"/>
                <w:color w:val="auto"/>
                <w:sz w:val="28"/>
                <w:szCs w:val="28"/>
                <w:highlight w:val="none"/>
                <w:u w:val="none"/>
                <w:lang w:eastAsia="zh-CN"/>
              </w:rPr>
              <w:t>中心</w:t>
            </w:r>
            <w:r>
              <w:rPr>
                <w:rFonts w:hint="eastAsia" w:ascii="Times New Roman" w:hAnsi="Times New Roman" w:eastAsia="仿宋_GB2312"/>
                <w:color w:val="auto"/>
                <w:sz w:val="28"/>
                <w:szCs w:val="28"/>
                <w:highlight w:val="none"/>
                <w:u w:val="none"/>
              </w:rPr>
              <w:t>，市政府分管领导，</w:t>
            </w:r>
            <w:r>
              <w:rPr>
                <w:rFonts w:hint="eastAsia" w:ascii="Times New Roman" w:hAnsi="Times New Roman" w:eastAsia="仿宋_GB2312"/>
                <w:color w:val="auto"/>
                <w:sz w:val="28"/>
                <w:szCs w:val="28"/>
                <w:highlight w:val="none"/>
                <w:u w:val="none"/>
                <w:lang w:eastAsia="zh-CN"/>
              </w:rPr>
              <w:t>局领导。</w:t>
            </w:r>
            <w:r>
              <w:rPr>
                <w:rFonts w:hint="eastAsia" w:ascii="Times New Roman" w:hAnsi="Times New Roman" w:eastAsia="仿宋_GB2312"/>
                <w:color w:val="auto"/>
                <w:sz w:val="28"/>
                <w:szCs w:val="28"/>
                <w:highlight w:val="none"/>
                <w:u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745" w:type="dxa"/>
            <w:tcBorders>
              <w:left w:val="nil"/>
              <w:right w:val="nil"/>
            </w:tcBorders>
            <w:vAlign w:val="top"/>
          </w:tcPr>
          <w:p>
            <w:pPr>
              <w:keepNext w:val="0"/>
              <w:keepLines w:val="0"/>
              <w:pageBreakBefore w:val="0"/>
              <w:widowControl w:val="0"/>
              <w:kinsoku/>
              <w:wordWrap/>
              <w:overflowPunct/>
              <w:topLinePunct w:val="0"/>
              <w:autoSpaceDE/>
              <w:autoSpaceDN/>
              <w:bidi w:val="0"/>
              <w:spacing w:line="580" w:lineRule="exact"/>
              <w:ind w:left="0" w:leftChars="0" w:right="0" w:firstLine="280" w:firstLineChars="100"/>
              <w:jc w:val="both"/>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南安市交通运输局办公室</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lang w:val="en-US" w:eastAsia="zh-CN"/>
              </w:rPr>
              <w:t xml:space="preserve">           </w:t>
            </w:r>
            <w:r>
              <w:rPr>
                <w:rFonts w:ascii="Times New Roman" w:hAnsi="Times New Roman" w:eastAsia="仿宋_GB2312"/>
                <w:color w:val="auto"/>
                <w:sz w:val="28"/>
                <w:szCs w:val="28"/>
                <w:highlight w:val="none"/>
              </w:rPr>
              <w:t xml:space="preserve">  20</w:t>
            </w:r>
            <w:r>
              <w:rPr>
                <w:rFonts w:ascii="Times New Roman" w:hAnsi="Times New Roman"/>
                <w:color w:val="auto"/>
                <w:sz w:val="28"/>
                <w:szCs w:val="28"/>
                <w:highlight w:val="none"/>
              </w:rPr>
              <w:t>2</w:t>
            </w:r>
            <w:r>
              <w:rPr>
                <w:rFonts w:hint="eastAsia" w:ascii="Times New Roman" w:hAnsi="Times New Roman"/>
                <w:color w:val="auto"/>
                <w:sz w:val="28"/>
                <w:szCs w:val="28"/>
                <w:highlight w:val="none"/>
                <w:lang w:val="en-US" w:eastAsia="zh-CN"/>
              </w:rPr>
              <w:t>3</w:t>
            </w:r>
            <w:r>
              <w:rPr>
                <w:rFonts w:hint="eastAsia" w:ascii="Times New Roman" w:hAnsi="Times New Roman" w:eastAsia="仿宋_GB2312"/>
                <w:color w:val="auto"/>
                <w:sz w:val="28"/>
                <w:szCs w:val="28"/>
                <w:highlight w:val="none"/>
              </w:rPr>
              <w:t>年</w:t>
            </w:r>
            <w:r>
              <w:rPr>
                <w:rFonts w:hint="eastAsia" w:ascii="Times New Roman" w:hAnsi="Times New Roman" w:eastAsia="仿宋_GB2312"/>
                <w:color w:val="auto"/>
                <w:sz w:val="28"/>
                <w:szCs w:val="28"/>
                <w:highlight w:val="none"/>
                <w:lang w:val="en-US" w:eastAsia="zh-CN"/>
              </w:rPr>
              <w:t>2</w:t>
            </w:r>
            <w:r>
              <w:rPr>
                <w:rFonts w:hint="eastAsia" w:ascii="Times New Roman" w:hAnsi="Times New Roman" w:eastAsia="仿宋_GB2312"/>
                <w:color w:val="auto"/>
                <w:sz w:val="28"/>
                <w:szCs w:val="28"/>
                <w:highlight w:val="none"/>
              </w:rPr>
              <w:t>月</w:t>
            </w:r>
            <w:r>
              <w:rPr>
                <w:rFonts w:hint="eastAsia" w:ascii="Times New Roman" w:hAnsi="Times New Roman" w:eastAsia="仿宋_GB2312"/>
                <w:color w:val="auto"/>
                <w:sz w:val="28"/>
                <w:szCs w:val="28"/>
                <w:highlight w:val="none"/>
                <w:lang w:val="en-US" w:eastAsia="zh-CN"/>
              </w:rPr>
              <w:t>2</w:t>
            </w:r>
            <w:r>
              <w:rPr>
                <w:rFonts w:hint="eastAsia" w:ascii="Times New Roman" w:hAnsi="Times New Roman" w:eastAsia="仿宋_GB2312"/>
                <w:color w:val="auto"/>
                <w:sz w:val="28"/>
                <w:szCs w:val="28"/>
                <w:highlight w:val="none"/>
              </w:rPr>
              <w:t>日印发</w:t>
            </w:r>
          </w:p>
        </w:tc>
      </w:tr>
    </w:tbl>
    <w:p>
      <w:pPr>
        <w:keepNext w:val="0"/>
        <w:keepLines w:val="0"/>
        <w:pageBreakBefore w:val="0"/>
        <w:kinsoku/>
        <w:wordWrap/>
        <w:overflowPunct/>
        <w:topLinePunct w:val="0"/>
        <w:autoSpaceDE/>
        <w:autoSpaceDN/>
        <w:bidi w:val="0"/>
        <w:spacing w:line="580" w:lineRule="exact"/>
        <w:ind w:left="0" w:leftChars="0" w:right="0"/>
        <w:jc w:val="both"/>
        <w:textAlignment w:val="auto"/>
        <w:rPr>
          <w:rFonts w:ascii="Times New Roman" w:hAnsi="Times New Roman"/>
          <w:color w:val="auto"/>
          <w:highlight w:val="none"/>
        </w:rPr>
      </w:pP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NmViMjhlZDBmNmIzYjBiODNiMWY1Zjc2NjY4NzYifQ=="/>
    <w:docVar w:name="KSO_WPS_MARK_KEY" w:val="dc6594d0-855e-492d-9f15-79167e46d3b2"/>
  </w:docVars>
  <w:rsids>
    <w:rsidRoot w:val="00000000"/>
    <w:rsid w:val="0293252C"/>
    <w:rsid w:val="08D42882"/>
    <w:rsid w:val="0F803E6A"/>
    <w:rsid w:val="1A593523"/>
    <w:rsid w:val="1BF061A7"/>
    <w:rsid w:val="20917018"/>
    <w:rsid w:val="2ADD6620"/>
    <w:rsid w:val="314D1A93"/>
    <w:rsid w:val="34F50283"/>
    <w:rsid w:val="567B3F65"/>
    <w:rsid w:val="56D26302"/>
    <w:rsid w:val="667016B7"/>
    <w:rsid w:val="69543FF7"/>
    <w:rsid w:val="70BB629F"/>
    <w:rsid w:val="741C2F41"/>
    <w:rsid w:val="7B7B02BD"/>
    <w:rsid w:val="7CF033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Normal Indent"/>
    <w:basedOn w:val="1"/>
    <w:qFormat/>
    <w:uiPriority w:val="0"/>
    <w:pPr>
      <w:ind w:firstLine="420" w:firstLineChars="200"/>
    </w:pPr>
    <w:rPr>
      <w:rFonts w:eastAsia="仿宋"/>
      <w:sz w:val="32"/>
    </w:rPr>
  </w:style>
  <w:style w:type="paragraph" w:styleId="4">
    <w:name w:val="Body Text"/>
    <w:basedOn w:val="1"/>
    <w:qFormat/>
    <w:uiPriority w:val="0"/>
    <w:pPr>
      <w:spacing w:after="120" w:afterLines="0" w:afterAutospacing="0" w:line="600" w:lineRule="exact"/>
      <w:ind w:firstLine="640" w:firstLineChars="200"/>
    </w:pPr>
    <w:rPr>
      <w:rFonts w:eastAsia="仿宋_GB2312"/>
    </w:rPr>
  </w:style>
  <w:style w:type="paragraph" w:styleId="5">
    <w:name w:val="Body Text Indent"/>
    <w:basedOn w:val="1"/>
    <w:next w:val="3"/>
    <w:qFormat/>
    <w:uiPriority w:val="0"/>
    <w:pPr>
      <w:spacing w:after="120"/>
      <w:ind w:left="420" w:leftChars="200"/>
    </w:pPr>
  </w:style>
  <w:style w:type="paragraph" w:styleId="6">
    <w:name w:val="Balloon Text"/>
    <w:basedOn w:val="1"/>
    <w:next w:val="1"/>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4"/>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6215</Words>
  <Characters>6375</Characters>
  <Lines>0</Lines>
  <Paragraphs>0</Paragraphs>
  <TotalTime>4</TotalTime>
  <ScaleCrop>false</ScaleCrop>
  <LinksUpToDate>false</LinksUpToDate>
  <CharactersWithSpaces>6443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2023-01-17T15:33:00Z</dcterms:created>
  <dc:creator>ppkame</dc:creator>
  <cp:lastModifiedBy>Administrator</cp:lastModifiedBy>
  <cp:lastPrinted>2023-02-02T09:14:00Z</cp:lastPrinted>
  <dcterms:modified xsi:type="dcterms:W3CDTF">2023-02-16T07:00:53Z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B8B887AE795A4C7D842422ABA9511666</vt:lpwstr>
  </property>
</Properties>
</file>