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sz w:val="36"/>
          <w:szCs w:val="36"/>
        </w:rPr>
      </w:pPr>
    </w:p>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right"/>
        <w:rPr>
          <w:rFonts w:eastAsia="仿宋_GB2312"/>
          <w:sz w:val="32"/>
          <w:szCs w:val="32"/>
        </w:rPr>
      </w:pPr>
    </w:p>
    <w:p>
      <w:pPr>
        <w:spacing w:line="560" w:lineRule="exact"/>
        <w:jc w:val="center"/>
        <w:rPr>
          <w:rFonts w:eastAsia="仿宋_GB2312"/>
          <w:sz w:val="32"/>
          <w:szCs w:val="32"/>
        </w:rPr>
      </w:pPr>
      <w:r>
        <w:rPr>
          <w:rFonts w:eastAsia="仿宋_GB2312"/>
          <w:sz w:val="32"/>
          <w:szCs w:val="32"/>
        </w:rPr>
        <w:t>南交〔20</w:t>
      </w:r>
      <w:r>
        <w:rPr>
          <w:rFonts w:hint="eastAsia" w:eastAsia="仿宋_GB2312"/>
          <w:sz w:val="32"/>
          <w:szCs w:val="32"/>
        </w:rPr>
        <w:t>21</w:t>
      </w:r>
      <w:r>
        <w:rPr>
          <w:rFonts w:eastAsia="仿宋_GB2312"/>
          <w:sz w:val="32"/>
          <w:szCs w:val="32"/>
        </w:rPr>
        <w:t>〕</w:t>
      </w:r>
      <w:r>
        <w:rPr>
          <w:rFonts w:hint="eastAsia" w:eastAsia="仿宋_GB2312"/>
          <w:sz w:val="32"/>
          <w:szCs w:val="32"/>
          <w:lang w:val="en-US" w:eastAsia="zh-CN"/>
        </w:rPr>
        <w:t>3</w:t>
      </w:r>
      <w:r>
        <w:rPr>
          <w:rFonts w:eastAsia="仿宋_GB2312"/>
          <w:sz w:val="32"/>
          <w:szCs w:val="32"/>
        </w:rPr>
        <w:t>号</w:t>
      </w:r>
    </w:p>
    <w:p>
      <w:pPr>
        <w:keepNext w:val="0"/>
        <w:keepLines w:val="0"/>
        <w:pageBreakBefore w:val="0"/>
        <w:kinsoku/>
        <w:wordWrap/>
        <w:overflowPunct/>
        <w:topLinePunct w:val="0"/>
        <w:bidi w:val="0"/>
        <w:snapToGrid/>
        <w:spacing w:line="560" w:lineRule="exact"/>
        <w:jc w:val="center"/>
        <w:rPr>
          <w:rFonts w:hint="eastAsia" w:ascii="方正仿宋_GBK" w:hAnsi="方正仿宋_GBK" w:eastAsia="方正仿宋_GBK" w:cs="方正仿宋_GBK"/>
          <w:color w:val="000000"/>
          <w:kern w:val="0"/>
          <w:sz w:val="32"/>
          <w:szCs w:val="32"/>
          <w:highlight w:val="none"/>
        </w:rPr>
      </w:pPr>
    </w:p>
    <w:p>
      <w:pPr>
        <w:keepNext w:val="0"/>
        <w:keepLines w:val="0"/>
        <w:pageBreakBefore w:val="0"/>
        <w:kinsoku/>
        <w:wordWrap/>
        <w:overflowPunct/>
        <w:topLinePunct w:val="0"/>
        <w:bidi w:val="0"/>
        <w:snapToGrid/>
        <w:spacing w:line="560" w:lineRule="exact"/>
        <w:jc w:val="center"/>
        <w:rPr>
          <w:rFonts w:hint="eastAsia" w:ascii="方正仿宋_GBK" w:hAnsi="方正仿宋_GBK" w:eastAsia="方正仿宋_GBK" w:cs="方正仿宋_GBK"/>
          <w:color w:val="000000"/>
          <w:kern w:val="0"/>
          <w:sz w:val="32"/>
          <w:szCs w:val="32"/>
          <w:highlight w:val="none"/>
        </w:rPr>
      </w:pPr>
    </w:p>
    <w:p>
      <w:pPr>
        <w:keepNext w:val="0"/>
        <w:keepLines w:val="0"/>
        <w:pageBreakBefore w:val="0"/>
        <w:kinsoku/>
        <w:wordWrap/>
        <w:overflowPunct/>
        <w:topLinePunct w:val="0"/>
        <w:bidi w:val="0"/>
        <w:snapToGrid/>
        <w:spacing w:line="560" w:lineRule="exact"/>
        <w:jc w:val="center"/>
        <w:rPr>
          <w:rFonts w:hint="eastAsia" w:ascii="方正小标宋简体" w:hAnsi="方正小标宋简体" w:eastAsia="方正小标宋简体" w:cs="方正小标宋简体"/>
          <w:b w:val="0"/>
          <w:bCs/>
          <w:color w:val="000000"/>
          <w:kern w:val="0"/>
          <w:sz w:val="44"/>
          <w:szCs w:val="44"/>
          <w:highlight w:val="none"/>
        </w:rPr>
      </w:pPr>
      <w:r>
        <w:rPr>
          <w:rFonts w:hint="eastAsia" w:ascii="方正小标宋简体" w:hAnsi="方正小标宋简体" w:eastAsia="方正小标宋简体" w:cs="方正小标宋简体"/>
          <w:b w:val="0"/>
          <w:bCs/>
          <w:color w:val="000000"/>
          <w:kern w:val="0"/>
          <w:sz w:val="44"/>
          <w:szCs w:val="44"/>
          <w:highlight w:val="none"/>
        </w:rPr>
        <w:t>南安市交通运输局</w:t>
      </w:r>
    </w:p>
    <w:p>
      <w:pPr>
        <w:keepNext w:val="0"/>
        <w:keepLines w:val="0"/>
        <w:pageBreakBefore w:val="0"/>
        <w:kinsoku/>
        <w:wordWrap/>
        <w:overflowPunct/>
        <w:topLinePunct w:val="0"/>
        <w:bidi w:val="0"/>
        <w:snapToGrid/>
        <w:spacing w:line="560" w:lineRule="exact"/>
        <w:jc w:val="center"/>
        <w:rPr>
          <w:rFonts w:hint="eastAsia" w:ascii="方正小标宋简体" w:hAnsi="方正小标宋简体" w:eastAsia="方正小标宋简体" w:cs="方正小标宋简体"/>
          <w:b w:val="0"/>
          <w:bCs/>
          <w:color w:val="000000"/>
          <w:kern w:val="0"/>
          <w:sz w:val="44"/>
          <w:szCs w:val="44"/>
          <w:highlight w:val="yellow"/>
        </w:rPr>
      </w:pPr>
      <w:r>
        <w:rPr>
          <w:rFonts w:hint="eastAsia" w:ascii="方正小标宋简体" w:hAnsi="方正小标宋简体" w:eastAsia="方正小标宋简体" w:cs="方正小标宋简体"/>
          <w:b w:val="0"/>
          <w:bCs/>
          <w:color w:val="000000"/>
          <w:kern w:val="0"/>
          <w:sz w:val="44"/>
          <w:szCs w:val="44"/>
          <w:highlight w:val="none"/>
        </w:rPr>
        <w:t>20</w:t>
      </w:r>
      <w:r>
        <w:rPr>
          <w:rFonts w:hint="eastAsia" w:ascii="方正小标宋简体" w:hAnsi="方正小标宋简体" w:eastAsia="方正小标宋简体" w:cs="方正小标宋简体"/>
          <w:b w:val="0"/>
          <w:bCs/>
          <w:color w:val="000000"/>
          <w:kern w:val="0"/>
          <w:sz w:val="44"/>
          <w:szCs w:val="44"/>
          <w:highlight w:val="none"/>
          <w:lang w:val="en-US" w:eastAsia="zh-CN"/>
        </w:rPr>
        <w:t>20</w:t>
      </w:r>
      <w:r>
        <w:rPr>
          <w:rFonts w:hint="eastAsia" w:ascii="方正小标宋简体" w:hAnsi="方正小标宋简体" w:eastAsia="方正小标宋简体" w:cs="方正小标宋简体"/>
          <w:b w:val="0"/>
          <w:bCs/>
          <w:color w:val="000000"/>
          <w:kern w:val="0"/>
          <w:sz w:val="44"/>
          <w:szCs w:val="44"/>
          <w:highlight w:val="none"/>
        </w:rPr>
        <w:t>年政府信息公开工作年度报告</w:t>
      </w:r>
    </w:p>
    <w:p>
      <w:pPr>
        <w:keepNext w:val="0"/>
        <w:keepLines w:val="0"/>
        <w:pageBreakBefore w:val="0"/>
        <w:kinsoku/>
        <w:wordWrap/>
        <w:overflowPunct/>
        <w:topLinePunct w:val="0"/>
        <w:autoSpaceDE w:val="0"/>
        <w:autoSpaceDN w:val="0"/>
        <w:bidi w:val="0"/>
        <w:adjustRightInd w:val="0"/>
        <w:snapToGrid/>
        <w:spacing w:line="560" w:lineRule="exact"/>
        <w:ind w:firstLine="720" w:firstLineChars="225"/>
        <w:rPr>
          <w:rFonts w:hint="eastAsia" w:ascii="方正仿宋_GBK" w:hAnsi="方正仿宋_GBK" w:eastAsia="方正仿宋_GBK" w:cs="方正仿宋_GBK"/>
          <w:sz w:val="32"/>
          <w:szCs w:val="32"/>
          <w:highlight w:val="yellow"/>
        </w:rPr>
      </w:pPr>
    </w:p>
    <w:p>
      <w:pPr>
        <w:keepNext w:val="0"/>
        <w:keepLines w:val="0"/>
        <w:pageBreakBefore w:val="0"/>
        <w:widowControl/>
        <w:kinsoku/>
        <w:wordWrap/>
        <w:overflowPunct/>
        <w:topLinePunct w:val="0"/>
        <w:bidi w:val="0"/>
        <w:snapToGrid/>
        <w:spacing w:line="56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本年度报告根据《中华人民共和国政府信息公开条例》（以下简称《条例》）</w:t>
      </w:r>
      <w:r>
        <w:rPr>
          <w:rFonts w:hint="eastAsia" w:ascii="方正仿宋_GBK" w:hAnsi="方正仿宋_GBK" w:eastAsia="方正仿宋_GBK" w:cs="方正仿宋_GBK"/>
          <w:sz w:val="32"/>
          <w:szCs w:val="32"/>
          <w:highlight w:val="none"/>
          <w:lang w:eastAsia="zh-CN"/>
        </w:rPr>
        <w:t>规定</w:t>
      </w:r>
      <w:r>
        <w:rPr>
          <w:rFonts w:hint="eastAsia" w:ascii="方正仿宋_GBK" w:hAnsi="方正仿宋_GBK" w:eastAsia="方正仿宋_GBK" w:cs="方正仿宋_GBK"/>
          <w:sz w:val="32"/>
          <w:szCs w:val="32"/>
          <w:highlight w:val="none"/>
        </w:rPr>
        <w:t>，由南安市交通运输局编制。本年度报告所列数据的统计期限自20</w:t>
      </w:r>
      <w:r>
        <w:rPr>
          <w:rFonts w:hint="eastAsia" w:ascii="方正仿宋_GBK" w:hAnsi="方正仿宋_GBK" w:eastAsia="方正仿宋_GBK" w:cs="方正仿宋_GBK"/>
          <w:sz w:val="32"/>
          <w:szCs w:val="32"/>
          <w:highlight w:val="none"/>
          <w:lang w:val="en-US" w:eastAsia="zh-CN"/>
        </w:rPr>
        <w:t>20</w:t>
      </w:r>
      <w:r>
        <w:rPr>
          <w:rFonts w:hint="eastAsia" w:ascii="方正仿宋_GBK" w:hAnsi="方正仿宋_GBK" w:eastAsia="方正仿宋_GBK" w:cs="方正仿宋_GBK"/>
          <w:sz w:val="32"/>
          <w:szCs w:val="32"/>
          <w:highlight w:val="none"/>
        </w:rPr>
        <w:t>年1月1日起至20</w:t>
      </w:r>
      <w:r>
        <w:rPr>
          <w:rFonts w:hint="eastAsia" w:ascii="方正仿宋_GBK" w:hAnsi="方正仿宋_GBK" w:eastAsia="方正仿宋_GBK" w:cs="方正仿宋_GBK"/>
          <w:sz w:val="32"/>
          <w:szCs w:val="32"/>
          <w:highlight w:val="none"/>
          <w:lang w:val="en-US" w:eastAsia="zh-CN"/>
        </w:rPr>
        <w:t>20</w:t>
      </w:r>
      <w:r>
        <w:rPr>
          <w:rFonts w:hint="eastAsia" w:ascii="方正仿宋_GBK" w:hAnsi="方正仿宋_GBK" w:eastAsia="方正仿宋_GBK" w:cs="方正仿宋_GBK"/>
          <w:sz w:val="32"/>
          <w:szCs w:val="32"/>
          <w:highlight w:val="none"/>
        </w:rPr>
        <w:t>年12月31日止。本年度报告</w:t>
      </w:r>
      <w:r>
        <w:rPr>
          <w:rFonts w:hint="eastAsia" w:ascii="方正仿宋_GBK" w:hAnsi="方正仿宋_GBK" w:eastAsia="方正仿宋_GBK" w:cs="方正仿宋_GBK"/>
          <w:sz w:val="32"/>
          <w:szCs w:val="32"/>
          <w:highlight w:val="none"/>
          <w:lang w:eastAsia="zh-CN"/>
        </w:rPr>
        <w:t>可</w:t>
      </w:r>
      <w:r>
        <w:rPr>
          <w:rFonts w:hint="eastAsia" w:ascii="方正仿宋_GBK" w:hAnsi="方正仿宋_GBK" w:eastAsia="方正仿宋_GBK" w:cs="方正仿宋_GBK"/>
          <w:sz w:val="32"/>
          <w:szCs w:val="32"/>
          <w:highlight w:val="none"/>
        </w:rPr>
        <w:t>通过</w:t>
      </w:r>
      <w:r>
        <w:rPr>
          <w:rFonts w:hint="eastAsia" w:ascii="方正仿宋_GBK" w:hAnsi="方正仿宋_GBK" w:eastAsia="方正仿宋_GBK" w:cs="方正仿宋_GBK"/>
          <w:sz w:val="32"/>
          <w:szCs w:val="32"/>
          <w:highlight w:val="none"/>
          <w:lang w:eastAsia="zh-CN"/>
        </w:rPr>
        <w:t>南安市人民政府网站</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http://www.nanan.gov.cn/）</w:t>
      </w:r>
      <w:r>
        <w:rPr>
          <w:rFonts w:hint="eastAsia" w:ascii="方正仿宋_GBK" w:hAnsi="方正仿宋_GBK" w:eastAsia="方正仿宋_GBK" w:cs="方正仿宋_GBK"/>
          <w:sz w:val="32"/>
          <w:szCs w:val="32"/>
          <w:highlight w:val="none"/>
          <w:lang w:eastAsia="zh-CN"/>
        </w:rPr>
        <w:t>查阅</w:t>
      </w:r>
      <w:r>
        <w:rPr>
          <w:rFonts w:hint="eastAsia" w:ascii="方正仿宋_GBK" w:hAnsi="方正仿宋_GBK" w:eastAsia="方正仿宋_GBK" w:cs="方正仿宋_GBK"/>
          <w:sz w:val="32"/>
          <w:szCs w:val="32"/>
          <w:highlight w:val="none"/>
        </w:rPr>
        <w:t>，如对本年</w:t>
      </w:r>
      <w:r>
        <w:rPr>
          <w:rFonts w:hint="eastAsia" w:ascii="方正仿宋_GBK" w:hAnsi="方正仿宋_GBK" w:eastAsia="方正仿宋_GBK" w:cs="方正仿宋_GBK"/>
          <w:sz w:val="32"/>
          <w:szCs w:val="32"/>
          <w:highlight w:val="none"/>
          <w:lang w:eastAsia="zh-CN"/>
        </w:rPr>
        <w:t>度</w:t>
      </w:r>
      <w:r>
        <w:rPr>
          <w:rFonts w:hint="eastAsia" w:ascii="方正仿宋_GBK" w:hAnsi="方正仿宋_GBK" w:eastAsia="方正仿宋_GBK" w:cs="方正仿宋_GBK"/>
          <w:sz w:val="32"/>
          <w:szCs w:val="32"/>
          <w:highlight w:val="none"/>
        </w:rPr>
        <w:t>报</w:t>
      </w:r>
      <w:r>
        <w:rPr>
          <w:rFonts w:hint="eastAsia" w:ascii="方正仿宋_GBK" w:hAnsi="方正仿宋_GBK" w:eastAsia="方正仿宋_GBK" w:cs="方正仿宋_GBK"/>
          <w:sz w:val="32"/>
          <w:szCs w:val="32"/>
          <w:highlight w:val="none"/>
          <w:lang w:eastAsia="zh-CN"/>
        </w:rPr>
        <w:t>告</w:t>
      </w:r>
      <w:r>
        <w:rPr>
          <w:rFonts w:hint="eastAsia" w:ascii="方正仿宋_GBK" w:hAnsi="方正仿宋_GBK" w:eastAsia="方正仿宋_GBK" w:cs="方正仿宋_GBK"/>
          <w:sz w:val="32"/>
          <w:szCs w:val="32"/>
          <w:highlight w:val="none"/>
        </w:rPr>
        <w:t>有疑问，请与南安市交通运输局办公室联系</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联系地址：南安市成功街986号，邮编：362300，联系电话：0595-86366801，电子邮箱：</w:t>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"mailto:b86366801@126.com。"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b86366801@126.com</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rPr>
        <w:fldChar w:fldCharType="end"/>
      </w:r>
    </w:p>
    <w:p>
      <w:pPr>
        <w:keepNext w:val="0"/>
        <w:keepLines w:val="0"/>
        <w:pageBreakBefore w:val="0"/>
        <w:widowControl/>
        <w:kinsoku/>
        <w:wordWrap/>
        <w:overflowPunct/>
        <w:topLinePunct w:val="0"/>
        <w:bidi w:val="0"/>
        <w:snapToGrid/>
        <w:spacing w:line="560" w:lineRule="exact"/>
        <w:ind w:firstLine="640" w:firstLineChars="20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rPr>
        <w:t>（一）工作总体情况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今年来，我</w:t>
      </w:r>
      <w:r>
        <w:rPr>
          <w:rFonts w:hint="eastAsia" w:ascii="方正仿宋_GBK" w:hAnsi="方正仿宋_GBK" w:eastAsia="方正仿宋_GBK" w:cs="方正仿宋_GBK"/>
          <w:sz w:val="32"/>
          <w:szCs w:val="32"/>
          <w:highlight w:val="none"/>
          <w:lang w:eastAsia="zh-CN"/>
        </w:rPr>
        <w:t>局</w:t>
      </w:r>
      <w:r>
        <w:rPr>
          <w:rFonts w:hint="eastAsia" w:ascii="方正仿宋_GBK" w:hAnsi="方正仿宋_GBK" w:eastAsia="方正仿宋_GBK" w:cs="方正仿宋_GBK"/>
          <w:sz w:val="32"/>
          <w:szCs w:val="32"/>
          <w:highlight w:val="none"/>
        </w:rPr>
        <w:t>深入贯彻《条例》</w:t>
      </w:r>
      <w:r>
        <w:rPr>
          <w:rFonts w:hint="eastAsia" w:ascii="方正仿宋_GBK" w:hAnsi="方正仿宋_GBK" w:eastAsia="方正仿宋_GBK" w:cs="方正仿宋_GBK"/>
          <w:sz w:val="32"/>
          <w:szCs w:val="32"/>
          <w:highlight w:val="none"/>
          <w:lang w:eastAsia="zh-CN"/>
        </w:rPr>
        <w:t>和</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国务院办公厅关于印发</w:t>
      </w:r>
      <w:r>
        <w:rPr>
          <w:rFonts w:hint="eastAsia" w:ascii="方正仿宋_GBK" w:hAnsi="方正仿宋_GBK" w:eastAsia="方正仿宋_GBK" w:cs="方正仿宋_GBK"/>
          <w:sz w:val="32"/>
          <w:szCs w:val="32"/>
          <w:highlight w:val="none"/>
          <w:lang w:val="en-US" w:eastAsia="zh-CN"/>
        </w:rPr>
        <w:t>2020年政务公开工作要点的通知</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（国办发【</w:t>
      </w:r>
      <w:r>
        <w:rPr>
          <w:rFonts w:hint="eastAsia" w:ascii="方正仿宋_GBK" w:hAnsi="方正仿宋_GBK" w:eastAsia="方正仿宋_GBK" w:cs="方正仿宋_GBK"/>
          <w:sz w:val="32"/>
          <w:szCs w:val="32"/>
          <w:highlight w:val="none"/>
          <w:lang w:val="en-US" w:eastAsia="zh-CN"/>
        </w:rPr>
        <w:t>2020】17号</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要求，进一步完善信息公开管理制度，健全信息公开工作机制，</w:t>
      </w:r>
      <w:r>
        <w:rPr>
          <w:rFonts w:hint="eastAsia" w:ascii="方正仿宋_GBK" w:hAnsi="方正仿宋_GBK" w:eastAsia="方正仿宋_GBK" w:cs="方正仿宋_GBK"/>
          <w:color w:val="auto"/>
          <w:sz w:val="32"/>
          <w:szCs w:val="32"/>
          <w:highlight w:val="none"/>
        </w:rPr>
        <w:t>结合</w:t>
      </w:r>
      <w:r>
        <w:rPr>
          <w:rFonts w:hint="eastAsia" w:ascii="方正仿宋_GBK" w:hAnsi="方正仿宋_GBK" w:eastAsia="方正仿宋_GBK" w:cs="方正仿宋_GBK"/>
          <w:color w:val="auto"/>
          <w:sz w:val="32"/>
          <w:szCs w:val="32"/>
          <w:highlight w:val="none"/>
          <w:lang w:eastAsia="zh-CN"/>
        </w:rPr>
        <w:t>交通运输</w:t>
      </w:r>
      <w:r>
        <w:rPr>
          <w:rFonts w:hint="eastAsia" w:ascii="方正仿宋_GBK" w:hAnsi="方正仿宋_GBK" w:eastAsia="方正仿宋_GBK" w:cs="方正仿宋_GBK"/>
          <w:color w:val="auto"/>
          <w:sz w:val="32"/>
          <w:szCs w:val="32"/>
          <w:highlight w:val="none"/>
        </w:rPr>
        <w:t>工作实际，坚持依法公开、真实公正、有利监督的原则，大力推进</w:t>
      </w:r>
      <w:r>
        <w:rPr>
          <w:rFonts w:hint="eastAsia" w:ascii="方正仿宋_GBK" w:hAnsi="方正仿宋_GBK" w:eastAsia="方正仿宋_GBK" w:cs="方正仿宋_GBK"/>
          <w:color w:val="auto"/>
          <w:sz w:val="32"/>
          <w:szCs w:val="32"/>
          <w:highlight w:val="none"/>
          <w:lang w:eastAsia="zh-CN"/>
        </w:rPr>
        <w:t>政府信息</w:t>
      </w:r>
      <w:r>
        <w:rPr>
          <w:rFonts w:hint="eastAsia" w:ascii="方正仿宋_GBK" w:hAnsi="方正仿宋_GBK" w:eastAsia="方正仿宋_GBK" w:cs="方正仿宋_GBK"/>
          <w:color w:val="auto"/>
          <w:sz w:val="32"/>
          <w:szCs w:val="32"/>
          <w:highlight w:val="none"/>
        </w:rPr>
        <w:t>公开工作落实。</w:t>
      </w:r>
    </w:p>
    <w:p>
      <w:pPr>
        <w:keepNext w:val="0"/>
        <w:keepLines w:val="0"/>
        <w:pageBreakBefore w:val="0"/>
        <w:tabs>
          <w:tab w:val="left" w:pos="1226"/>
        </w:tabs>
        <w:kinsoku/>
        <w:wordWrap/>
        <w:overflowPunct/>
        <w:topLinePunct w:val="0"/>
        <w:autoSpaceDE/>
        <w:autoSpaceDN/>
        <w:bidi w:val="0"/>
        <w:adjustRightInd/>
        <w:snapToGrid/>
        <w:spacing w:line="560" w:lineRule="exact"/>
        <w:ind w:firstLine="640" w:firstLineChars="200"/>
        <w:textAlignment w:val="bottom"/>
        <w:outlineLvl w:val="9"/>
        <w:rPr>
          <w:rFonts w:hint="eastAsia" w:ascii="方正仿宋_GBK" w:hAnsi="方正仿宋_GBK" w:eastAsia="方正仿宋_GBK" w:cs="方正仿宋_GBK"/>
          <w:b w:val="0"/>
          <w:bCs w:val="0"/>
          <w:color w:val="555555"/>
          <w:sz w:val="32"/>
          <w:szCs w:val="32"/>
          <w:shd w:val="clear" w:color="auto" w:fill="FFFFFF"/>
          <w:lang w:val="en-US" w:eastAsia="zh-CN"/>
        </w:rPr>
      </w:pPr>
      <w:r>
        <w:rPr>
          <w:rFonts w:hint="eastAsia" w:ascii="方正仿宋_GBK" w:hAnsi="方正仿宋_GBK" w:eastAsia="方正仿宋_GBK" w:cs="方正仿宋_GBK"/>
          <w:b/>
          <w:bCs/>
          <w:color w:val="auto"/>
          <w:sz w:val="32"/>
          <w:szCs w:val="32"/>
          <w:highlight w:val="none"/>
          <w:lang w:val="en-US" w:eastAsia="zh-CN"/>
        </w:rPr>
        <w:t>加强组织领导。</w:t>
      </w:r>
      <w:r>
        <w:rPr>
          <w:rFonts w:hint="eastAsia" w:ascii="方正仿宋_GBK" w:hAnsi="方正仿宋_GBK" w:eastAsia="方正仿宋_GBK" w:cs="方正仿宋_GBK"/>
          <w:b w:val="0"/>
          <w:bCs w:val="0"/>
          <w:color w:val="auto"/>
          <w:sz w:val="32"/>
          <w:szCs w:val="32"/>
          <w:highlight w:val="none"/>
          <w:lang w:val="en-US" w:eastAsia="zh-CN"/>
        </w:rPr>
        <w:t>成立</w:t>
      </w:r>
      <w:r>
        <w:rPr>
          <w:rFonts w:hint="eastAsia" w:ascii="方正仿宋_GBK" w:hAnsi="方正仿宋_GBK" w:eastAsia="方正仿宋_GBK" w:cs="方正仿宋_GBK"/>
          <w:color w:val="auto"/>
          <w:sz w:val="32"/>
          <w:szCs w:val="32"/>
          <w:highlight w:val="none"/>
        </w:rPr>
        <w:t>以局主要领导为组长，分管领导为副组长，相关科室</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负责人为成员的交通</w:t>
      </w:r>
      <w:r>
        <w:rPr>
          <w:rFonts w:hint="eastAsia" w:ascii="方正仿宋_GBK" w:hAnsi="方正仿宋_GBK" w:eastAsia="方正仿宋_GBK" w:cs="方正仿宋_GBK"/>
          <w:color w:val="auto"/>
          <w:sz w:val="32"/>
          <w:szCs w:val="32"/>
          <w:highlight w:val="none"/>
          <w:lang w:eastAsia="zh-CN"/>
        </w:rPr>
        <w:t>局政府信息</w:t>
      </w:r>
      <w:r>
        <w:rPr>
          <w:rFonts w:hint="eastAsia" w:ascii="方正仿宋_GBK" w:hAnsi="方正仿宋_GBK" w:eastAsia="方正仿宋_GBK" w:cs="方正仿宋_GBK"/>
          <w:color w:val="auto"/>
          <w:sz w:val="32"/>
          <w:szCs w:val="32"/>
          <w:highlight w:val="none"/>
        </w:rPr>
        <w:t>公开</w:t>
      </w:r>
      <w:r>
        <w:rPr>
          <w:rFonts w:hint="eastAsia" w:ascii="方正仿宋_GBK" w:hAnsi="方正仿宋_GBK" w:eastAsia="方正仿宋_GBK" w:cs="方正仿宋_GBK"/>
          <w:color w:val="auto"/>
          <w:sz w:val="32"/>
          <w:szCs w:val="32"/>
          <w:highlight w:val="none"/>
          <w:lang w:eastAsia="zh-CN"/>
        </w:rPr>
        <w:t>工作</w:t>
      </w:r>
      <w:r>
        <w:rPr>
          <w:rFonts w:hint="eastAsia" w:ascii="方正仿宋_GBK" w:hAnsi="方正仿宋_GBK" w:eastAsia="方正仿宋_GBK" w:cs="方正仿宋_GBK"/>
          <w:color w:val="auto"/>
          <w:sz w:val="32"/>
          <w:szCs w:val="32"/>
          <w:highlight w:val="none"/>
        </w:rPr>
        <w:t>领导小组</w:t>
      </w:r>
      <w:r>
        <w:rPr>
          <w:rFonts w:hint="eastAsia" w:ascii="方正仿宋_GBK" w:hAnsi="方正仿宋_GBK" w:eastAsia="方正仿宋_GBK" w:cs="方正仿宋_GBK"/>
          <w:color w:val="auto"/>
          <w:sz w:val="32"/>
          <w:szCs w:val="32"/>
          <w:highlight w:val="none"/>
          <w:lang w:eastAsia="zh-CN"/>
        </w:rPr>
        <w:t>，建立</w:t>
      </w:r>
      <w:r>
        <w:rPr>
          <w:rFonts w:hint="eastAsia" w:ascii="方正仿宋_GBK" w:hAnsi="方正仿宋_GBK" w:eastAsia="方正仿宋_GBK" w:cs="方正仿宋_GBK"/>
          <w:color w:val="auto"/>
          <w:sz w:val="32"/>
          <w:szCs w:val="32"/>
          <w:highlight w:val="none"/>
        </w:rPr>
        <w:t>局办公室</w:t>
      </w:r>
      <w:r>
        <w:rPr>
          <w:rFonts w:hint="eastAsia" w:ascii="方正仿宋_GBK" w:hAnsi="方正仿宋_GBK" w:eastAsia="方正仿宋_GBK" w:cs="方正仿宋_GBK"/>
          <w:color w:val="auto"/>
          <w:sz w:val="32"/>
          <w:szCs w:val="32"/>
          <w:highlight w:val="none"/>
          <w:lang w:eastAsia="zh-CN"/>
        </w:rPr>
        <w:t>牵头</w:t>
      </w:r>
      <w:r>
        <w:rPr>
          <w:rFonts w:hint="eastAsia" w:ascii="方正仿宋_GBK" w:hAnsi="方正仿宋_GBK" w:eastAsia="方正仿宋_GBK" w:cs="方正仿宋_GBK"/>
          <w:color w:val="auto"/>
          <w:sz w:val="32"/>
          <w:szCs w:val="32"/>
          <w:highlight w:val="none"/>
        </w:rPr>
        <w:t>组织办理</w:t>
      </w:r>
      <w:r>
        <w:rPr>
          <w:rFonts w:hint="eastAsia" w:ascii="方正仿宋_GBK" w:hAnsi="方正仿宋_GBK" w:eastAsia="方正仿宋_GBK" w:cs="方正仿宋_GBK"/>
          <w:color w:val="auto"/>
          <w:sz w:val="32"/>
          <w:szCs w:val="32"/>
          <w:highlight w:val="none"/>
          <w:lang w:eastAsia="zh-CN"/>
        </w:rPr>
        <w:t>政府信息</w:t>
      </w:r>
      <w:r>
        <w:rPr>
          <w:rFonts w:hint="eastAsia" w:ascii="方正仿宋_GBK" w:hAnsi="方正仿宋_GBK" w:eastAsia="方正仿宋_GBK" w:cs="方正仿宋_GBK"/>
          <w:color w:val="auto"/>
          <w:sz w:val="32"/>
          <w:szCs w:val="32"/>
          <w:highlight w:val="none"/>
        </w:rPr>
        <w:t>公开事务的责任机构，明确有关科室协作配合的工作职责，并指定专人负责具体工作，形成了“主要领导亲自抓，分管领导具体抓，职能部门抓落实”的工作机制，确保</w:t>
      </w:r>
      <w:r>
        <w:rPr>
          <w:rFonts w:hint="eastAsia" w:ascii="方正仿宋_GBK" w:hAnsi="方正仿宋_GBK" w:eastAsia="方正仿宋_GBK" w:cs="方正仿宋_GBK"/>
          <w:color w:val="auto"/>
          <w:sz w:val="32"/>
          <w:szCs w:val="32"/>
          <w:highlight w:val="none"/>
          <w:lang w:eastAsia="zh-CN"/>
        </w:rPr>
        <w:t>政府信息</w:t>
      </w:r>
      <w:r>
        <w:rPr>
          <w:rFonts w:hint="eastAsia" w:ascii="方正仿宋_GBK" w:hAnsi="方正仿宋_GBK" w:eastAsia="方正仿宋_GBK" w:cs="方正仿宋_GBK"/>
          <w:color w:val="auto"/>
          <w:sz w:val="32"/>
          <w:szCs w:val="32"/>
          <w:highlight w:val="none"/>
        </w:rPr>
        <w:t>公开工作落到实处。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bottom"/>
        <w:outlineLvl w:val="9"/>
        <w:rPr>
          <w:rFonts w:hint="eastAsia" w:ascii="方正仿宋_GBK" w:hAnsi="方正仿宋_GBK" w:eastAsia="方正仿宋_GBK" w:cs="方正仿宋_GBK"/>
          <w:color w:val="auto"/>
          <w:sz w:val="32"/>
          <w:szCs w:val="32"/>
          <w:highlight w:val="yellow"/>
          <w:lang w:eastAsia="zh-CN"/>
        </w:rPr>
      </w:pPr>
      <w:r>
        <w:rPr>
          <w:rFonts w:hint="eastAsia" w:ascii="方正仿宋_GBK" w:hAnsi="方正仿宋_GBK" w:eastAsia="方正仿宋_GBK" w:cs="方正仿宋_GBK"/>
          <w:b/>
          <w:bCs/>
          <w:color w:val="auto"/>
          <w:sz w:val="32"/>
          <w:szCs w:val="32"/>
          <w:highlight w:val="none"/>
          <w:lang w:eastAsia="zh-CN"/>
        </w:rPr>
        <w:t>着重加强行政执法信息公开力度。</w:t>
      </w:r>
      <w:r>
        <w:rPr>
          <w:rFonts w:hint="eastAsia" w:ascii="方正仿宋_GBK" w:hAnsi="方正仿宋_GBK" w:eastAsia="方正仿宋_GBK" w:cs="方正仿宋_GBK"/>
          <w:color w:val="auto"/>
          <w:sz w:val="32"/>
          <w:szCs w:val="32"/>
          <w:highlight w:val="none"/>
          <w:lang w:eastAsia="zh-CN"/>
        </w:rPr>
        <w:t>做好</w:t>
      </w:r>
      <w:r>
        <w:rPr>
          <w:rFonts w:hint="eastAsia" w:ascii="方正仿宋_GBK" w:hAnsi="方正仿宋_GBK" w:eastAsia="方正仿宋_GBK" w:cs="方正仿宋_GBK"/>
          <w:color w:val="auto"/>
          <w:sz w:val="32"/>
          <w:szCs w:val="32"/>
          <w:highlight w:val="none"/>
        </w:rPr>
        <w:t>“互联网+</w:t>
      </w:r>
      <w:r>
        <w:rPr>
          <w:rFonts w:hint="eastAsia" w:ascii="方正仿宋_GBK" w:hAnsi="方正仿宋_GBK" w:eastAsia="方正仿宋_GBK" w:cs="方正仿宋_GBK"/>
          <w:color w:val="auto"/>
          <w:sz w:val="32"/>
          <w:szCs w:val="32"/>
          <w:highlight w:val="none"/>
          <w:lang w:eastAsia="zh-CN"/>
        </w:rPr>
        <w:t>监管</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监管事项清单梳理工作，完成本部门监管事项清单</w:t>
      </w:r>
      <w:r>
        <w:rPr>
          <w:rFonts w:hint="eastAsia" w:ascii="方正仿宋_GBK" w:hAnsi="方正仿宋_GBK" w:eastAsia="方正仿宋_GBK" w:cs="方正仿宋_GBK"/>
          <w:color w:val="auto"/>
          <w:sz w:val="32"/>
          <w:szCs w:val="32"/>
          <w:highlight w:val="none"/>
          <w:lang w:val="en-US" w:eastAsia="zh-CN"/>
        </w:rPr>
        <w:t>216项、</w:t>
      </w:r>
      <w:r>
        <w:rPr>
          <w:rFonts w:hint="eastAsia" w:ascii="方正仿宋_GBK" w:hAnsi="方正仿宋_GBK" w:eastAsia="方正仿宋_GBK" w:cs="方正仿宋_GBK"/>
          <w:color w:val="auto"/>
          <w:sz w:val="32"/>
          <w:szCs w:val="32"/>
          <w:highlight w:val="none"/>
          <w:lang w:eastAsia="zh-CN"/>
        </w:rPr>
        <w:t>对应的检查实施清单</w:t>
      </w:r>
      <w:r>
        <w:rPr>
          <w:rFonts w:hint="eastAsia" w:ascii="方正仿宋_GBK" w:hAnsi="方正仿宋_GBK" w:eastAsia="方正仿宋_GBK" w:cs="方正仿宋_GBK"/>
          <w:color w:val="auto"/>
          <w:sz w:val="32"/>
          <w:szCs w:val="32"/>
          <w:highlight w:val="none"/>
          <w:lang w:val="en-US" w:eastAsia="zh-CN"/>
        </w:rPr>
        <w:t>75项</w:t>
      </w:r>
      <w:r>
        <w:rPr>
          <w:rFonts w:hint="eastAsia" w:ascii="方正仿宋_GBK" w:hAnsi="方正仿宋_GBK" w:eastAsia="方正仿宋_GBK" w:cs="方正仿宋_GBK"/>
          <w:color w:val="auto"/>
          <w:sz w:val="32"/>
          <w:szCs w:val="32"/>
          <w:highlight w:val="none"/>
          <w:lang w:eastAsia="zh-CN"/>
        </w:rPr>
        <w:t>细化梳理，做好监管事项目录清单中行政处罚子项和行政强制子项与省三级网上行政执法平台匹配。</w:t>
      </w:r>
      <w:r>
        <w:rPr>
          <w:rFonts w:hint="eastAsia" w:ascii="方正仿宋_GBK" w:hAnsi="方正仿宋_GBK" w:eastAsia="方正仿宋_GBK" w:cs="方正仿宋_GBK"/>
          <w:color w:val="auto"/>
          <w:sz w:val="32"/>
          <w:szCs w:val="32"/>
          <w:highlight w:val="none"/>
        </w:rPr>
        <w:t>在南安市人民政府网站公及时公</w:t>
      </w:r>
      <w:r>
        <w:rPr>
          <w:rFonts w:hint="eastAsia" w:ascii="方正仿宋_GBK" w:hAnsi="方正仿宋_GBK" w:eastAsia="方正仿宋_GBK" w:cs="方正仿宋_GBK"/>
          <w:color w:val="auto"/>
          <w:sz w:val="32"/>
          <w:szCs w:val="32"/>
          <w:highlight w:val="none"/>
          <w:lang w:eastAsia="zh-CN"/>
        </w:rPr>
        <w:t>开“两客一危</w:t>
      </w:r>
      <w:r>
        <w:rPr>
          <w:rFonts w:hint="eastAsia" w:ascii="方正仿宋_GBK" w:hAnsi="方正仿宋_GBK" w:eastAsia="方正仿宋_GBK" w:cs="方正仿宋_GBK"/>
          <w:color w:val="auto"/>
          <w:sz w:val="32"/>
          <w:szCs w:val="32"/>
          <w:highlight w:val="none"/>
          <w:lang w:val="en-US" w:eastAsia="zh-CN"/>
        </w:rPr>
        <w:t>”、水路运输企</w:t>
      </w:r>
      <w:r>
        <w:rPr>
          <w:rFonts w:hint="eastAsia" w:ascii="方正仿宋_GBK" w:hAnsi="方正仿宋_GBK" w:eastAsia="方正仿宋_GBK" w:cs="方正仿宋_GBK"/>
          <w:color w:val="auto"/>
          <w:sz w:val="32"/>
          <w:szCs w:val="32"/>
          <w:highlight w:val="none"/>
        </w:rPr>
        <w:t>业、</w:t>
      </w:r>
      <w:r>
        <w:rPr>
          <w:rFonts w:hint="eastAsia" w:ascii="方正仿宋_GBK" w:hAnsi="方正仿宋_GBK" w:eastAsia="方正仿宋_GBK" w:cs="方正仿宋_GBK"/>
          <w:color w:val="auto"/>
          <w:sz w:val="32"/>
          <w:szCs w:val="32"/>
          <w:highlight w:val="none"/>
          <w:lang w:eastAsia="zh-CN"/>
        </w:rPr>
        <w:t>货运物流企业、</w:t>
      </w:r>
      <w:r>
        <w:rPr>
          <w:rFonts w:hint="eastAsia" w:ascii="方正仿宋_GBK" w:hAnsi="方正仿宋_GBK" w:eastAsia="方正仿宋_GBK" w:cs="方正仿宋_GBK"/>
          <w:color w:val="auto"/>
          <w:sz w:val="32"/>
          <w:szCs w:val="32"/>
          <w:highlight w:val="none"/>
        </w:rPr>
        <w:t>机动车维修企业</w:t>
      </w:r>
      <w:r>
        <w:rPr>
          <w:rFonts w:hint="eastAsia" w:ascii="方正仿宋_GBK" w:hAnsi="方正仿宋_GBK" w:eastAsia="方正仿宋_GBK" w:cs="方正仿宋_GBK"/>
          <w:color w:val="auto"/>
          <w:sz w:val="32"/>
          <w:szCs w:val="32"/>
          <w:highlight w:val="none"/>
          <w:lang w:eastAsia="zh-CN"/>
        </w:rPr>
        <w:t>、驾培行业、在建交通工程项目</w:t>
      </w:r>
      <w:r>
        <w:rPr>
          <w:rFonts w:hint="eastAsia" w:ascii="方正仿宋_GBK" w:hAnsi="方正仿宋_GBK" w:eastAsia="方正仿宋_GBK" w:cs="方正仿宋_GBK"/>
          <w:color w:val="auto"/>
          <w:sz w:val="32"/>
          <w:szCs w:val="32"/>
          <w:highlight w:val="none"/>
        </w:rPr>
        <w:t>双随机抽查检查结果</w:t>
      </w:r>
      <w:r>
        <w:rPr>
          <w:rFonts w:hint="eastAsia" w:ascii="方正仿宋_GBK" w:hAnsi="方正仿宋_GBK" w:eastAsia="方正仿宋_GBK" w:cs="方正仿宋_GBK"/>
          <w:color w:val="auto"/>
          <w:sz w:val="32"/>
          <w:szCs w:val="32"/>
          <w:highlight w:val="none"/>
          <w:lang w:val="en-US" w:eastAsia="zh-CN"/>
        </w:rPr>
        <w:t>34份</w:t>
      </w:r>
      <w:r>
        <w:rPr>
          <w:rFonts w:hint="eastAsia" w:ascii="方正仿宋_GBK" w:hAnsi="方正仿宋_GBK" w:eastAsia="方正仿宋_GBK" w:cs="方正仿宋_GBK"/>
          <w:color w:val="auto"/>
          <w:sz w:val="32"/>
          <w:szCs w:val="32"/>
          <w:highlight w:val="none"/>
          <w:lang w:eastAsia="zh-CN"/>
        </w:rPr>
        <w:t>；在泉州市公共信用信息平台公开执法信息，按照七天一公示要求，及时公开行政处罚信息</w:t>
      </w:r>
      <w:r>
        <w:rPr>
          <w:rFonts w:hint="eastAsia" w:ascii="方正仿宋_GBK" w:hAnsi="方正仿宋_GBK" w:eastAsia="方正仿宋_GBK" w:cs="方正仿宋_GBK"/>
          <w:color w:val="auto"/>
          <w:sz w:val="32"/>
          <w:szCs w:val="32"/>
          <w:highlight w:val="none"/>
          <w:lang w:val="en-US" w:eastAsia="zh-CN"/>
        </w:rPr>
        <w:t>893条、行政强制信息344条。</w:t>
      </w:r>
    </w:p>
    <w:p>
      <w:pPr>
        <w:keepNext w:val="0"/>
        <w:keepLines w:val="0"/>
        <w:pageBreakBefore w:val="0"/>
        <w:tabs>
          <w:tab w:val="left" w:pos="1226"/>
        </w:tabs>
        <w:kinsoku/>
        <w:wordWrap/>
        <w:overflowPunct/>
        <w:topLinePunct w:val="0"/>
        <w:autoSpaceDE/>
        <w:autoSpaceDN/>
        <w:bidi w:val="0"/>
        <w:adjustRightInd/>
        <w:snapToGrid/>
        <w:spacing w:line="560" w:lineRule="exact"/>
        <w:ind w:firstLine="640" w:firstLineChars="200"/>
        <w:textAlignment w:val="bottom"/>
        <w:outlineLvl w:val="9"/>
        <w:rPr>
          <w:rFonts w:hint="eastAsia" w:ascii="方正仿宋_GBK" w:hAnsi="方正仿宋_GBK" w:eastAsia="方正仿宋_GBK" w:cs="方正仿宋_GBK"/>
          <w:color w:val="auto"/>
          <w:sz w:val="32"/>
          <w:szCs w:val="32"/>
          <w:highlight w:val="yellow"/>
          <w:lang w:val="en-US" w:eastAsia="zh-CN"/>
        </w:rPr>
      </w:pPr>
      <w:r>
        <w:rPr>
          <w:rFonts w:hint="eastAsia" w:ascii="方正仿宋_GBK" w:hAnsi="方正仿宋_GBK" w:eastAsia="方正仿宋_GBK" w:cs="方正仿宋_GBK"/>
          <w:b/>
          <w:color w:val="auto"/>
          <w:sz w:val="32"/>
          <w:szCs w:val="32"/>
          <w:highlight w:val="none"/>
          <w:lang w:eastAsia="zh-CN"/>
        </w:rPr>
        <w:t>着重加大财政信息</w:t>
      </w:r>
      <w:r>
        <w:rPr>
          <w:rFonts w:hint="eastAsia" w:ascii="方正仿宋_GBK" w:hAnsi="方正仿宋_GBK" w:eastAsia="方正仿宋_GBK" w:cs="方正仿宋_GBK"/>
          <w:b/>
          <w:color w:val="auto"/>
          <w:sz w:val="32"/>
          <w:szCs w:val="32"/>
          <w:highlight w:val="none"/>
        </w:rPr>
        <w:t>公开</w:t>
      </w:r>
      <w:r>
        <w:rPr>
          <w:rFonts w:hint="eastAsia" w:ascii="方正仿宋_GBK" w:hAnsi="方正仿宋_GBK" w:eastAsia="方正仿宋_GBK" w:cs="方正仿宋_GBK"/>
          <w:b/>
          <w:color w:val="auto"/>
          <w:sz w:val="32"/>
          <w:szCs w:val="32"/>
          <w:highlight w:val="none"/>
          <w:lang w:eastAsia="zh-CN"/>
        </w:rPr>
        <w:t>力度</w:t>
      </w:r>
      <w:r>
        <w:rPr>
          <w:rFonts w:hint="eastAsia" w:ascii="方正仿宋_GBK" w:hAnsi="方正仿宋_GBK" w:eastAsia="方正仿宋_GBK" w:cs="方正仿宋_GBK"/>
          <w:b/>
          <w:color w:val="auto"/>
          <w:sz w:val="32"/>
          <w:szCs w:val="32"/>
          <w:highlight w:val="none"/>
        </w:rPr>
        <w:t>。</w:t>
      </w:r>
      <w:r>
        <w:rPr>
          <w:rFonts w:hint="eastAsia" w:ascii="方正仿宋_GBK" w:hAnsi="方正仿宋_GBK" w:eastAsia="方正仿宋_GBK" w:cs="方正仿宋_GBK"/>
          <w:color w:val="auto"/>
          <w:kern w:val="0"/>
          <w:sz w:val="32"/>
          <w:szCs w:val="32"/>
          <w:highlight w:val="none"/>
        </w:rPr>
        <w:t>进一步加大财政资金管理使用情况的公开力度，</w:t>
      </w:r>
      <w:r>
        <w:rPr>
          <w:rFonts w:hint="eastAsia" w:ascii="方正仿宋_GBK" w:hAnsi="方正仿宋_GBK" w:eastAsia="方正仿宋_GBK" w:cs="方正仿宋_GBK"/>
          <w:color w:val="auto"/>
          <w:kern w:val="0"/>
          <w:sz w:val="32"/>
          <w:szCs w:val="32"/>
          <w:highlight w:val="none"/>
          <w:lang w:eastAsia="zh-CN"/>
        </w:rPr>
        <w:t>主动公开我局各专项资金信息及使用情况；</w:t>
      </w:r>
      <w:r>
        <w:rPr>
          <w:rFonts w:hint="eastAsia" w:ascii="方正仿宋_GBK" w:hAnsi="方正仿宋_GBK" w:eastAsia="方正仿宋_GBK" w:cs="方正仿宋_GBK"/>
          <w:color w:val="auto"/>
          <w:kern w:val="0"/>
          <w:sz w:val="32"/>
          <w:szCs w:val="32"/>
          <w:highlight w:val="none"/>
        </w:rPr>
        <w:t>主动公开20</w:t>
      </w:r>
      <w:r>
        <w:rPr>
          <w:rFonts w:hint="eastAsia" w:ascii="方正仿宋_GBK" w:hAnsi="方正仿宋_GBK" w:eastAsia="方正仿宋_GBK" w:cs="方正仿宋_GBK"/>
          <w:color w:val="auto"/>
          <w:kern w:val="0"/>
          <w:sz w:val="32"/>
          <w:szCs w:val="32"/>
          <w:highlight w:val="none"/>
          <w:lang w:val="en-US" w:eastAsia="zh-CN"/>
        </w:rPr>
        <w:t>20</w:t>
      </w:r>
      <w:r>
        <w:rPr>
          <w:rFonts w:hint="eastAsia" w:ascii="方正仿宋_GBK" w:hAnsi="方正仿宋_GBK" w:eastAsia="方正仿宋_GBK" w:cs="方正仿宋_GBK"/>
          <w:color w:val="auto"/>
          <w:kern w:val="0"/>
          <w:sz w:val="32"/>
          <w:szCs w:val="32"/>
          <w:highlight w:val="none"/>
        </w:rPr>
        <w:t>年度部门预算说明和</w:t>
      </w: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color w:val="auto"/>
          <w:sz w:val="32"/>
          <w:szCs w:val="32"/>
          <w:highlight w:val="none"/>
        </w:rPr>
        <w:instrText xml:space="preserve"> HYPERLINK "http://www.nanan.gov.cn/public/detail/id/6203386.html" \o "2017年度南安市交通运输局部门决算说明" </w:instrText>
      </w:r>
      <w:r>
        <w:rPr>
          <w:rFonts w:hint="eastAsia" w:ascii="方正仿宋_GBK" w:hAnsi="方正仿宋_GBK" w:eastAsia="方正仿宋_GBK" w:cs="方正仿宋_GBK"/>
          <w:color w:val="auto"/>
          <w:sz w:val="32"/>
          <w:szCs w:val="32"/>
          <w:highlight w:val="none"/>
        </w:rPr>
        <w:fldChar w:fldCharType="separate"/>
      </w:r>
      <w:r>
        <w:rPr>
          <w:rFonts w:hint="eastAsia" w:ascii="方正仿宋_GBK" w:hAnsi="方正仿宋_GBK" w:eastAsia="方正仿宋_GBK" w:cs="方正仿宋_GBK"/>
          <w:color w:val="auto"/>
          <w:kern w:val="0"/>
          <w:sz w:val="32"/>
          <w:szCs w:val="32"/>
          <w:highlight w:val="none"/>
        </w:rPr>
        <w:t>20</w:t>
      </w:r>
      <w:r>
        <w:rPr>
          <w:rFonts w:hint="eastAsia" w:ascii="方正仿宋_GBK" w:hAnsi="方正仿宋_GBK" w:eastAsia="方正仿宋_GBK" w:cs="方正仿宋_GBK"/>
          <w:color w:val="auto"/>
          <w:kern w:val="0"/>
          <w:sz w:val="32"/>
          <w:szCs w:val="32"/>
          <w:highlight w:val="none"/>
          <w:lang w:val="en-US" w:eastAsia="zh-CN"/>
        </w:rPr>
        <w:t>19</w:t>
      </w:r>
      <w:r>
        <w:rPr>
          <w:rFonts w:hint="eastAsia" w:ascii="方正仿宋_GBK" w:hAnsi="方正仿宋_GBK" w:eastAsia="方正仿宋_GBK" w:cs="方正仿宋_GBK"/>
          <w:color w:val="auto"/>
          <w:kern w:val="0"/>
          <w:sz w:val="32"/>
          <w:szCs w:val="32"/>
          <w:highlight w:val="none"/>
        </w:rPr>
        <w:t>年度部门决算说明</w:t>
      </w:r>
      <w:r>
        <w:rPr>
          <w:rFonts w:hint="eastAsia" w:ascii="方正仿宋_GBK" w:hAnsi="方正仿宋_GBK" w:eastAsia="方正仿宋_GBK" w:cs="方正仿宋_GBK"/>
          <w:color w:val="auto"/>
          <w:kern w:val="0"/>
          <w:sz w:val="32"/>
          <w:szCs w:val="32"/>
          <w:highlight w:val="none"/>
        </w:rPr>
        <w:fldChar w:fldCharType="end"/>
      </w:r>
      <w:r>
        <w:rPr>
          <w:rFonts w:hint="eastAsia" w:ascii="方正仿宋_GBK" w:hAnsi="方正仿宋_GBK" w:eastAsia="方正仿宋_GBK" w:cs="方正仿宋_GBK"/>
          <w:color w:val="auto"/>
          <w:kern w:val="0"/>
          <w:sz w:val="32"/>
          <w:szCs w:val="32"/>
          <w:highlight w:val="none"/>
        </w:rPr>
        <w:t>，</w:t>
      </w:r>
      <w:r>
        <w:rPr>
          <w:rFonts w:hint="eastAsia" w:ascii="方正仿宋_GBK" w:hAnsi="方正仿宋_GBK" w:eastAsia="方正仿宋_GBK" w:cs="方正仿宋_GBK"/>
          <w:color w:val="auto"/>
          <w:kern w:val="32"/>
          <w:sz w:val="32"/>
          <w:szCs w:val="32"/>
          <w:highlight w:val="none"/>
        </w:rPr>
        <w:t>内容具体包括了</w:t>
      </w:r>
      <w:r>
        <w:rPr>
          <w:rFonts w:hint="eastAsia" w:ascii="方正仿宋_GBK" w:hAnsi="方正仿宋_GBK" w:eastAsia="方正仿宋_GBK" w:cs="方正仿宋_GBK"/>
          <w:color w:val="auto"/>
          <w:sz w:val="32"/>
          <w:szCs w:val="32"/>
          <w:highlight w:val="none"/>
        </w:rPr>
        <w:t>年度收支预算情况说明、主要支出内容、</w:t>
      </w:r>
      <w:r>
        <w:rPr>
          <w:rFonts w:hint="eastAsia" w:ascii="方正仿宋_GBK" w:hAnsi="方正仿宋_GBK" w:eastAsia="方正仿宋_GBK" w:cs="方正仿宋_GBK"/>
          <w:color w:val="auto"/>
          <w:kern w:val="32"/>
          <w:sz w:val="32"/>
          <w:szCs w:val="32"/>
          <w:highlight w:val="none"/>
        </w:rPr>
        <w:t>“三公”</w:t>
      </w:r>
      <w:r>
        <w:rPr>
          <w:rFonts w:hint="eastAsia" w:ascii="方正仿宋_GBK" w:hAnsi="方正仿宋_GBK" w:eastAsia="方正仿宋_GBK" w:cs="方正仿宋_GBK"/>
          <w:color w:val="auto"/>
          <w:sz w:val="32"/>
          <w:szCs w:val="32"/>
          <w:highlight w:val="none"/>
        </w:rPr>
        <w:t>经费预算情况等，细化到收入资金性质、支出涉及的功能分类。其中</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“三公”经费信息每月都会在我局内部事务公开栏中实时详细</w:t>
      </w:r>
      <w:r>
        <w:rPr>
          <w:rFonts w:hint="eastAsia" w:ascii="方正仿宋_GBK" w:hAnsi="方正仿宋_GBK" w:eastAsia="方正仿宋_GBK" w:cs="方正仿宋_GBK"/>
          <w:color w:val="auto"/>
          <w:sz w:val="32"/>
          <w:szCs w:val="32"/>
          <w:highlight w:val="none"/>
          <w:lang w:eastAsia="zh-CN"/>
        </w:rPr>
        <w:t>公开</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 xml:space="preserve"> </w:t>
      </w:r>
    </w:p>
    <w:p>
      <w:pPr>
        <w:keepNext w:val="0"/>
        <w:keepLines w:val="0"/>
        <w:pageBreakBefore w:val="0"/>
        <w:tabs>
          <w:tab w:val="left" w:pos="1226"/>
        </w:tabs>
        <w:kinsoku/>
        <w:wordWrap/>
        <w:overflowPunct/>
        <w:topLinePunct w:val="0"/>
        <w:autoSpaceDE/>
        <w:autoSpaceDN/>
        <w:bidi w:val="0"/>
        <w:adjustRightInd/>
        <w:snapToGrid/>
        <w:spacing w:line="560" w:lineRule="exact"/>
        <w:ind w:firstLine="640" w:firstLineChars="200"/>
        <w:textAlignment w:val="bottom"/>
        <w:outlineLvl w:val="9"/>
        <w:rPr>
          <w:rFonts w:hint="eastAsia" w:ascii="方正仿宋_GBK" w:hAnsi="方正仿宋_GBK" w:eastAsia="方正仿宋_GBK" w:cs="方正仿宋_GBK"/>
          <w:color w:val="auto"/>
          <w:sz w:val="32"/>
          <w:szCs w:val="32"/>
          <w:highlight w:val="none"/>
          <w:shd w:val="clear" w:color="auto" w:fill="auto"/>
          <w:lang w:val="en-US" w:eastAsia="zh-CN"/>
        </w:rPr>
      </w:pPr>
      <w:r>
        <w:rPr>
          <w:rFonts w:hint="eastAsia" w:ascii="方正仿宋_GBK" w:hAnsi="方正仿宋_GBK" w:eastAsia="方正仿宋_GBK" w:cs="方正仿宋_GBK"/>
          <w:b/>
          <w:bCs/>
          <w:color w:val="auto"/>
          <w:sz w:val="32"/>
          <w:szCs w:val="32"/>
          <w:highlight w:val="none"/>
          <w:lang w:val="en-US" w:eastAsia="zh-CN"/>
        </w:rPr>
        <w:t>加强重要政策措施解读、</w:t>
      </w:r>
      <w:r>
        <w:rPr>
          <w:rFonts w:hint="eastAsia" w:ascii="方正仿宋_GBK" w:hAnsi="方正仿宋_GBK" w:eastAsia="方正仿宋_GBK" w:cs="方正仿宋_GBK"/>
          <w:b/>
          <w:color w:val="auto"/>
          <w:kern w:val="0"/>
          <w:sz w:val="32"/>
          <w:szCs w:val="32"/>
          <w:highlight w:val="none"/>
        </w:rPr>
        <w:t>做好</w:t>
      </w:r>
      <w:r>
        <w:rPr>
          <w:rFonts w:hint="eastAsia" w:ascii="方正仿宋_GBK" w:hAnsi="方正仿宋_GBK" w:eastAsia="方正仿宋_GBK" w:cs="方正仿宋_GBK"/>
          <w:b/>
          <w:color w:val="auto"/>
          <w:kern w:val="0"/>
          <w:sz w:val="32"/>
          <w:szCs w:val="32"/>
          <w:highlight w:val="none"/>
          <w:lang w:eastAsia="zh-CN"/>
        </w:rPr>
        <w:t>社会关切</w:t>
      </w:r>
      <w:r>
        <w:rPr>
          <w:rFonts w:hint="eastAsia" w:ascii="方正仿宋_GBK" w:hAnsi="方正仿宋_GBK" w:eastAsia="方正仿宋_GBK" w:cs="方正仿宋_GBK"/>
          <w:b/>
          <w:color w:val="auto"/>
          <w:kern w:val="0"/>
          <w:sz w:val="32"/>
          <w:szCs w:val="32"/>
          <w:highlight w:val="none"/>
        </w:rPr>
        <w:t>回应工作</w:t>
      </w:r>
      <w:r>
        <w:rPr>
          <w:rFonts w:hint="eastAsia" w:ascii="方正仿宋_GBK" w:hAnsi="方正仿宋_GBK" w:eastAsia="方正仿宋_GBK" w:cs="方正仿宋_GBK"/>
          <w:b/>
          <w:bCs/>
          <w:color w:val="auto"/>
          <w:sz w:val="32"/>
          <w:szCs w:val="32"/>
          <w:highlight w:val="none"/>
          <w:lang w:val="en-US" w:eastAsia="zh-CN"/>
        </w:rPr>
        <w:t>。</w:t>
      </w:r>
      <w:r>
        <w:rPr>
          <w:rFonts w:hint="eastAsia" w:ascii="方正仿宋_GBK" w:hAnsi="方正仿宋_GBK" w:eastAsia="方正仿宋_GBK" w:cs="方正仿宋_GBK"/>
          <w:b w:val="0"/>
          <w:bCs w:val="0"/>
          <w:color w:val="auto"/>
          <w:sz w:val="32"/>
          <w:szCs w:val="32"/>
          <w:highlight w:val="none"/>
          <w:lang w:val="en-US" w:eastAsia="zh-CN"/>
        </w:rPr>
        <w:t>逐步</w:t>
      </w:r>
      <w:r>
        <w:rPr>
          <w:rFonts w:hint="eastAsia" w:ascii="方正仿宋_GBK" w:hAnsi="方正仿宋_GBK" w:eastAsia="方正仿宋_GBK" w:cs="方正仿宋_GBK"/>
          <w:color w:val="auto"/>
          <w:sz w:val="32"/>
          <w:szCs w:val="32"/>
          <w:highlight w:val="none"/>
          <w:shd w:val="clear" w:color="auto" w:fill="auto"/>
          <w:lang w:val="en-US" w:eastAsia="zh-CN"/>
        </w:rPr>
        <w:t>建立健全我局政策解读制度，严格按照《南安市人民政府办公室关于报送规范性文件备案审查要求的通知》要求，规范性文件出台后，立即通过</w:t>
      </w:r>
      <w:r>
        <w:rPr>
          <w:rFonts w:hint="eastAsia" w:ascii="方正仿宋_GBK" w:hAnsi="方正仿宋_GBK" w:eastAsia="方正仿宋_GBK" w:cs="方正仿宋_GBK"/>
          <w:b w:val="0"/>
          <w:bCs w:val="0"/>
          <w:color w:val="auto"/>
          <w:sz w:val="32"/>
          <w:szCs w:val="32"/>
          <w:highlight w:val="none"/>
        </w:rPr>
        <w:t>南安市人民政府网站</w:t>
      </w:r>
      <w:r>
        <w:rPr>
          <w:rFonts w:hint="eastAsia" w:ascii="方正仿宋_GBK" w:hAnsi="方正仿宋_GBK" w:eastAsia="方正仿宋_GBK" w:cs="方正仿宋_GBK"/>
          <w:b w:val="0"/>
          <w:bCs w:val="0"/>
          <w:color w:val="auto"/>
          <w:sz w:val="32"/>
          <w:szCs w:val="32"/>
          <w:highlight w:val="none"/>
          <w:lang w:eastAsia="zh-CN"/>
        </w:rPr>
        <w:t>进行公开和解读。充分发挥</w:t>
      </w:r>
      <w:r>
        <w:rPr>
          <w:rFonts w:hint="eastAsia" w:ascii="方正仿宋_GBK" w:hAnsi="方正仿宋_GBK" w:eastAsia="方正仿宋_GBK" w:cs="方正仿宋_GBK"/>
          <w:color w:val="auto"/>
          <w:sz w:val="32"/>
          <w:szCs w:val="32"/>
          <w:highlight w:val="none"/>
          <w:lang w:eastAsia="zh-CN"/>
        </w:rPr>
        <w:t>我局新闻发言人</w:t>
      </w:r>
      <w:r>
        <w:rPr>
          <w:rFonts w:hint="eastAsia" w:ascii="方正仿宋_GBK" w:hAnsi="方正仿宋_GBK" w:eastAsia="方正仿宋_GBK" w:cs="方正仿宋_GBK"/>
          <w:color w:val="auto"/>
          <w:sz w:val="32"/>
          <w:szCs w:val="32"/>
          <w:highlight w:val="none"/>
          <w:lang w:val="en-US" w:eastAsia="zh-CN"/>
        </w:rPr>
        <w:t>、新闻联络员的作用，</w:t>
      </w:r>
      <w:r>
        <w:rPr>
          <w:rFonts w:hint="eastAsia" w:ascii="方正仿宋_GBK" w:hAnsi="方正仿宋_GBK" w:eastAsia="方正仿宋_GBK" w:cs="方正仿宋_GBK"/>
          <w:color w:val="auto"/>
          <w:sz w:val="32"/>
          <w:szCs w:val="32"/>
          <w:highlight w:val="none"/>
          <w:shd w:val="clear" w:color="auto" w:fill="auto"/>
          <w:lang w:val="en-US" w:eastAsia="zh-CN"/>
        </w:rPr>
        <w:t>通过传统媒体或新媒体，以微视频、抖音视频、图表解读等方式对我局重要政策措施进行公开和解读，</w:t>
      </w:r>
      <w:r>
        <w:rPr>
          <w:rFonts w:hint="eastAsia" w:ascii="方正仿宋_GBK" w:hAnsi="方正仿宋_GBK" w:eastAsia="方正仿宋_GBK" w:cs="方正仿宋_GBK"/>
          <w:color w:val="auto"/>
          <w:sz w:val="32"/>
          <w:szCs w:val="32"/>
          <w:highlight w:val="none"/>
          <w:lang w:val="en-US" w:eastAsia="zh-CN"/>
        </w:rPr>
        <w:t>2020年发布、转载交通政策解读11件次，</w:t>
      </w:r>
      <w:r>
        <w:rPr>
          <w:rFonts w:hint="eastAsia" w:ascii="方正仿宋_GBK" w:hAnsi="方正仿宋_GBK" w:eastAsia="方正仿宋_GBK" w:cs="方正仿宋_GBK"/>
          <w:color w:val="auto"/>
          <w:sz w:val="32"/>
          <w:szCs w:val="32"/>
          <w:highlight w:val="none"/>
        </w:rPr>
        <w:t>开展</w:t>
      </w:r>
      <w:r>
        <w:rPr>
          <w:rFonts w:hint="eastAsia" w:ascii="方正仿宋_GBK" w:hAnsi="方正仿宋_GBK" w:eastAsia="方正仿宋_GBK" w:cs="方正仿宋_GBK"/>
          <w:color w:val="auto"/>
          <w:sz w:val="32"/>
          <w:szCs w:val="32"/>
          <w:highlight w:val="none"/>
          <w:lang w:eastAsia="zh-CN"/>
        </w:rPr>
        <w:t>交通法律法规</w:t>
      </w:r>
      <w:r>
        <w:rPr>
          <w:rFonts w:hint="eastAsia" w:ascii="方正仿宋_GBK" w:hAnsi="方正仿宋_GBK" w:eastAsia="方正仿宋_GBK" w:cs="方正仿宋_GBK"/>
          <w:color w:val="auto"/>
          <w:sz w:val="32"/>
          <w:szCs w:val="32"/>
          <w:highlight w:val="none"/>
        </w:rPr>
        <w:t>政策</w:t>
      </w:r>
      <w:r>
        <w:rPr>
          <w:rFonts w:hint="eastAsia" w:ascii="方正仿宋_GBK" w:hAnsi="方正仿宋_GBK" w:eastAsia="方正仿宋_GBK" w:cs="方正仿宋_GBK"/>
          <w:color w:val="auto"/>
          <w:sz w:val="32"/>
          <w:szCs w:val="32"/>
          <w:highlight w:val="none"/>
          <w:lang w:eastAsia="zh-CN"/>
        </w:rPr>
        <w:t>咨询等宣传</w:t>
      </w:r>
      <w:r>
        <w:rPr>
          <w:rFonts w:hint="eastAsia" w:ascii="方正仿宋_GBK" w:hAnsi="方正仿宋_GBK" w:eastAsia="方正仿宋_GBK" w:cs="方正仿宋_GBK"/>
          <w:color w:val="auto"/>
          <w:sz w:val="32"/>
          <w:szCs w:val="32"/>
          <w:highlight w:val="none"/>
        </w:rPr>
        <w:t>活动</w:t>
      </w:r>
      <w:r>
        <w:rPr>
          <w:rFonts w:hint="eastAsia" w:ascii="方正仿宋_GBK" w:hAnsi="方正仿宋_GBK" w:eastAsia="方正仿宋_GBK" w:cs="方正仿宋_GBK"/>
          <w:color w:val="auto"/>
          <w:sz w:val="32"/>
          <w:szCs w:val="32"/>
          <w:highlight w:val="none"/>
          <w:lang w:val="en-US" w:eastAsia="zh-CN"/>
        </w:rPr>
        <w:t>16</w:t>
      </w:r>
      <w:r>
        <w:rPr>
          <w:rFonts w:hint="eastAsia" w:ascii="方正仿宋_GBK" w:hAnsi="方正仿宋_GBK" w:eastAsia="方正仿宋_GBK" w:cs="方正仿宋_GBK"/>
          <w:color w:val="auto"/>
          <w:sz w:val="32"/>
          <w:szCs w:val="32"/>
          <w:highlight w:val="none"/>
        </w:rPr>
        <w:t>场</w:t>
      </w:r>
      <w:r>
        <w:rPr>
          <w:rFonts w:hint="eastAsia" w:ascii="方正仿宋_GBK" w:hAnsi="方正仿宋_GBK" w:eastAsia="方正仿宋_GBK" w:cs="方正仿宋_GBK"/>
          <w:color w:val="auto"/>
          <w:sz w:val="32"/>
          <w:szCs w:val="32"/>
          <w:highlight w:val="none"/>
          <w:lang w:eastAsia="zh-CN"/>
        </w:rPr>
        <w:t>次</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了解各方关切，有针对性地做好回应工作</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及时</w:t>
      </w:r>
      <w:r>
        <w:rPr>
          <w:rFonts w:hint="eastAsia" w:ascii="方正仿宋_GBK" w:hAnsi="方正仿宋_GBK" w:eastAsia="方正仿宋_GBK" w:cs="方正仿宋_GBK"/>
          <w:color w:val="auto"/>
          <w:sz w:val="32"/>
          <w:szCs w:val="32"/>
          <w:highlight w:val="none"/>
          <w:lang w:eastAsia="zh-CN"/>
        </w:rPr>
        <w:t>公布疫情防控和复工复产相关信息，</w:t>
      </w:r>
      <w:r>
        <w:rPr>
          <w:rFonts w:hint="eastAsia" w:ascii="方正仿宋_GBK" w:hAnsi="方正仿宋_GBK" w:eastAsia="方正仿宋_GBK" w:cs="方正仿宋_GBK"/>
          <w:color w:val="auto"/>
          <w:sz w:val="32"/>
          <w:szCs w:val="32"/>
          <w:highlight w:val="none"/>
        </w:rPr>
        <w:t>涉及重大突发事件</w:t>
      </w:r>
      <w:r>
        <w:rPr>
          <w:rFonts w:hint="eastAsia" w:ascii="方正仿宋_GBK" w:hAnsi="方正仿宋_GBK" w:eastAsia="方正仿宋_GBK" w:cs="方正仿宋_GBK"/>
          <w:color w:val="auto"/>
          <w:sz w:val="32"/>
          <w:szCs w:val="32"/>
          <w:highlight w:val="none"/>
          <w:lang w:eastAsia="zh-CN"/>
        </w:rPr>
        <w:t>、经济社会热点、办事创业堵点痛点等</w:t>
      </w:r>
      <w:r>
        <w:rPr>
          <w:rFonts w:hint="eastAsia" w:ascii="方正仿宋_GBK" w:hAnsi="方正仿宋_GBK" w:eastAsia="方正仿宋_GBK" w:cs="方正仿宋_GBK"/>
          <w:color w:val="auto"/>
          <w:sz w:val="32"/>
          <w:szCs w:val="32"/>
          <w:highlight w:val="none"/>
        </w:rPr>
        <w:t>舆情，认真</w:t>
      </w:r>
      <w:r>
        <w:rPr>
          <w:rFonts w:hint="eastAsia" w:ascii="方正仿宋_GBK" w:hAnsi="方正仿宋_GBK" w:eastAsia="方正仿宋_GBK" w:cs="方正仿宋_GBK"/>
          <w:color w:val="auto"/>
          <w:sz w:val="32"/>
          <w:szCs w:val="32"/>
          <w:highlight w:val="none"/>
          <w:lang w:eastAsia="zh-CN"/>
        </w:rPr>
        <w:t>监测、</w:t>
      </w:r>
      <w:r>
        <w:rPr>
          <w:rFonts w:hint="eastAsia" w:ascii="方正仿宋_GBK" w:hAnsi="方正仿宋_GBK" w:eastAsia="方正仿宋_GBK" w:cs="方正仿宋_GBK"/>
          <w:color w:val="auto"/>
          <w:sz w:val="32"/>
          <w:szCs w:val="32"/>
          <w:highlight w:val="none"/>
        </w:rPr>
        <w:t>研判</w:t>
      </w:r>
      <w:r>
        <w:rPr>
          <w:rFonts w:hint="eastAsia" w:ascii="方正仿宋_GBK" w:hAnsi="方正仿宋_GBK" w:eastAsia="方正仿宋_GBK" w:cs="方正仿宋_GBK"/>
          <w:color w:val="auto"/>
          <w:sz w:val="32"/>
          <w:szCs w:val="32"/>
          <w:highlight w:val="none"/>
          <w:lang w:eastAsia="zh-CN"/>
        </w:rPr>
        <w:t>和回应</w:t>
      </w:r>
      <w:r>
        <w:rPr>
          <w:rFonts w:hint="eastAsia" w:ascii="方正仿宋_GBK" w:hAnsi="方正仿宋_GBK" w:eastAsia="方正仿宋_GBK" w:cs="方正仿宋_GBK"/>
          <w:color w:val="auto"/>
          <w:sz w:val="32"/>
          <w:szCs w:val="32"/>
          <w:highlight w:val="none"/>
        </w:rPr>
        <w:t>，及时借助媒体、网站等渠道发布准确权威信息，讲清事实真相、有关政策措施、处置结果等。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rPr>
        <w:t>（二）主动公开情况</w:t>
      </w:r>
    </w:p>
    <w:p>
      <w:pPr>
        <w:keepNext w:val="0"/>
        <w:keepLines w:val="0"/>
        <w:pageBreakBefore w:val="0"/>
        <w:widowControl/>
        <w:kinsoku/>
        <w:wordWrap/>
        <w:overflowPunct/>
        <w:topLinePunct w:val="0"/>
        <w:bidi w:val="0"/>
        <w:snapToGrid/>
        <w:spacing w:line="560" w:lineRule="exact"/>
        <w:ind w:firstLine="640" w:firstLineChars="200"/>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严格按照《条例》规定，依托</w:t>
      </w:r>
      <w:r>
        <w:rPr>
          <w:rFonts w:hint="eastAsia" w:ascii="方正仿宋_GBK" w:hAnsi="方正仿宋_GBK" w:eastAsia="方正仿宋_GBK" w:cs="方正仿宋_GBK"/>
          <w:color w:val="auto"/>
          <w:kern w:val="32"/>
          <w:sz w:val="32"/>
          <w:szCs w:val="32"/>
          <w:highlight w:val="none"/>
        </w:rPr>
        <w:t>“中国•南安”</w:t>
      </w:r>
      <w:r>
        <w:rPr>
          <w:rFonts w:hint="eastAsia" w:ascii="方正仿宋_GBK" w:hAnsi="方正仿宋_GBK" w:eastAsia="方正仿宋_GBK" w:cs="方正仿宋_GBK"/>
          <w:color w:val="auto"/>
          <w:kern w:val="32"/>
          <w:sz w:val="32"/>
          <w:szCs w:val="32"/>
          <w:highlight w:val="none"/>
          <w:lang w:eastAsia="zh-CN"/>
        </w:rPr>
        <w:t>政府门户网站主动公开机构职能类信息</w:t>
      </w:r>
      <w:r>
        <w:rPr>
          <w:rFonts w:hint="eastAsia" w:ascii="方正仿宋_GBK" w:hAnsi="方正仿宋_GBK" w:eastAsia="方正仿宋_GBK" w:cs="方正仿宋_GBK"/>
          <w:color w:val="auto"/>
          <w:kern w:val="32"/>
          <w:sz w:val="32"/>
          <w:szCs w:val="32"/>
          <w:highlight w:val="none"/>
          <w:lang w:val="en-US" w:eastAsia="zh-CN"/>
        </w:rPr>
        <w:t>1条，规范性文件类信息2条，</w:t>
      </w:r>
      <w:r>
        <w:rPr>
          <w:rFonts w:hint="eastAsia" w:ascii="方正仿宋_GBK" w:hAnsi="方正仿宋_GBK" w:eastAsia="方正仿宋_GBK" w:cs="方正仿宋_GBK"/>
          <w:color w:val="auto"/>
          <w:sz w:val="32"/>
          <w:szCs w:val="32"/>
          <w:highlight w:val="none"/>
        </w:rPr>
        <w:t>行政许可类</w:t>
      </w:r>
      <w:r>
        <w:rPr>
          <w:rFonts w:hint="eastAsia" w:ascii="方正仿宋_GBK" w:hAnsi="方正仿宋_GBK" w:eastAsia="方正仿宋_GBK" w:cs="方正仿宋_GBK"/>
          <w:color w:val="auto"/>
          <w:sz w:val="32"/>
          <w:szCs w:val="32"/>
          <w:highlight w:val="none"/>
          <w:lang w:eastAsia="zh-CN"/>
        </w:rPr>
        <w:t>信息</w:t>
      </w:r>
      <w:r>
        <w:rPr>
          <w:rFonts w:hint="eastAsia" w:ascii="方正仿宋_GBK" w:hAnsi="方正仿宋_GBK" w:eastAsia="方正仿宋_GBK" w:cs="方正仿宋_GBK"/>
          <w:color w:val="auto"/>
          <w:sz w:val="32"/>
          <w:szCs w:val="32"/>
          <w:highlight w:val="none"/>
          <w:lang w:val="en-US" w:eastAsia="zh-CN"/>
        </w:rPr>
        <w:t>51条</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为民办实事类信息</w:t>
      </w:r>
      <w:r>
        <w:rPr>
          <w:rFonts w:hint="eastAsia" w:ascii="方正仿宋_GBK" w:hAnsi="方正仿宋_GBK" w:eastAsia="方正仿宋_GBK" w:cs="方正仿宋_GBK"/>
          <w:color w:val="auto"/>
          <w:sz w:val="32"/>
          <w:szCs w:val="32"/>
          <w:highlight w:val="none"/>
          <w:lang w:val="en-US" w:eastAsia="zh-CN"/>
        </w:rPr>
        <w:t>39</w:t>
      </w:r>
      <w:r>
        <w:rPr>
          <w:rFonts w:hint="eastAsia" w:ascii="方正仿宋_GBK" w:hAnsi="方正仿宋_GBK" w:eastAsia="方正仿宋_GBK" w:cs="方正仿宋_GBK"/>
          <w:color w:val="auto"/>
          <w:sz w:val="32"/>
          <w:szCs w:val="32"/>
          <w:highlight w:val="none"/>
        </w:rPr>
        <w:t>条</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安全生产、应急管理类信息</w:t>
      </w:r>
      <w:r>
        <w:rPr>
          <w:rFonts w:hint="eastAsia" w:ascii="方正仿宋_GBK" w:hAnsi="方正仿宋_GBK" w:eastAsia="方正仿宋_GBK" w:cs="方正仿宋_GBK"/>
          <w:color w:val="auto"/>
          <w:sz w:val="32"/>
          <w:szCs w:val="32"/>
          <w:highlight w:val="none"/>
          <w:lang w:val="en-US" w:eastAsia="zh-CN"/>
        </w:rPr>
        <w:t>74</w:t>
      </w:r>
      <w:r>
        <w:rPr>
          <w:rFonts w:hint="eastAsia" w:ascii="方正仿宋_GBK" w:hAnsi="方正仿宋_GBK" w:eastAsia="方正仿宋_GBK" w:cs="方正仿宋_GBK"/>
          <w:color w:val="auto"/>
          <w:sz w:val="32"/>
          <w:szCs w:val="32"/>
          <w:highlight w:val="none"/>
        </w:rPr>
        <w:t>条</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其他政府信息</w:t>
      </w:r>
      <w:r>
        <w:rPr>
          <w:rFonts w:hint="eastAsia" w:ascii="方正仿宋_GBK" w:hAnsi="方正仿宋_GBK" w:eastAsia="方正仿宋_GBK" w:cs="方正仿宋_GBK"/>
          <w:color w:val="auto"/>
          <w:sz w:val="32"/>
          <w:szCs w:val="32"/>
          <w:highlight w:val="none"/>
          <w:lang w:val="en-US" w:eastAsia="zh-CN"/>
        </w:rPr>
        <w:t>174</w:t>
      </w:r>
      <w:r>
        <w:rPr>
          <w:rFonts w:hint="eastAsia" w:ascii="方正仿宋_GBK" w:hAnsi="方正仿宋_GBK" w:eastAsia="方正仿宋_GBK" w:cs="方正仿宋_GBK"/>
          <w:color w:val="auto"/>
          <w:sz w:val="32"/>
          <w:szCs w:val="32"/>
          <w:highlight w:val="none"/>
        </w:rPr>
        <w:t>条</w:t>
      </w:r>
      <w:r>
        <w:rPr>
          <w:rFonts w:hint="eastAsia" w:ascii="方正仿宋_GBK" w:hAnsi="方正仿宋_GBK" w:eastAsia="方正仿宋_GBK" w:cs="方正仿宋_GBK"/>
          <w:color w:val="auto"/>
          <w:sz w:val="32"/>
          <w:szCs w:val="32"/>
          <w:highlight w:val="none"/>
          <w:lang w:eastAsia="zh-CN"/>
        </w:rPr>
        <w:t>，全年</w:t>
      </w:r>
      <w:r>
        <w:rPr>
          <w:rFonts w:hint="eastAsia" w:ascii="方正仿宋_GBK" w:hAnsi="方正仿宋_GBK" w:eastAsia="方正仿宋_GBK" w:cs="方正仿宋_GBK"/>
          <w:color w:val="auto"/>
          <w:sz w:val="32"/>
          <w:szCs w:val="32"/>
          <w:highlight w:val="none"/>
        </w:rPr>
        <w:t>累计主动公开与人民群众生产、生活以及经济社会发展紧密相关的各类政府信息</w:t>
      </w:r>
      <w:r>
        <w:rPr>
          <w:rFonts w:hint="eastAsia" w:ascii="方正仿宋_GBK" w:hAnsi="方正仿宋_GBK" w:eastAsia="方正仿宋_GBK" w:cs="方正仿宋_GBK"/>
          <w:color w:val="auto"/>
          <w:sz w:val="32"/>
          <w:szCs w:val="32"/>
          <w:highlight w:val="none"/>
          <w:lang w:val="en-US" w:eastAsia="zh-CN"/>
        </w:rPr>
        <w:t>341</w:t>
      </w:r>
      <w:r>
        <w:rPr>
          <w:rFonts w:hint="eastAsia" w:ascii="方正仿宋_GBK" w:hAnsi="方正仿宋_GBK" w:eastAsia="方正仿宋_GBK" w:cs="方正仿宋_GBK"/>
          <w:color w:val="auto"/>
          <w:sz w:val="32"/>
          <w:szCs w:val="32"/>
          <w:highlight w:val="none"/>
        </w:rPr>
        <w:t>条</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历年</w:t>
      </w:r>
      <w:r>
        <w:rPr>
          <w:rFonts w:hint="eastAsia" w:ascii="方正仿宋_GBK" w:hAnsi="方正仿宋_GBK" w:eastAsia="方正仿宋_GBK" w:cs="方正仿宋_GBK"/>
          <w:color w:val="auto"/>
          <w:sz w:val="32"/>
          <w:szCs w:val="32"/>
          <w:highlight w:val="none"/>
          <w:lang w:eastAsia="zh-CN"/>
        </w:rPr>
        <w:t>来</w:t>
      </w:r>
      <w:r>
        <w:rPr>
          <w:rFonts w:hint="eastAsia" w:ascii="方正仿宋_GBK" w:hAnsi="方正仿宋_GBK" w:eastAsia="方正仿宋_GBK" w:cs="方正仿宋_GBK"/>
          <w:color w:val="auto"/>
          <w:sz w:val="32"/>
          <w:szCs w:val="32"/>
          <w:highlight w:val="none"/>
        </w:rPr>
        <w:t>累计主动公开政府信息</w:t>
      </w:r>
      <w:r>
        <w:rPr>
          <w:rFonts w:hint="eastAsia" w:ascii="方正仿宋_GBK" w:hAnsi="方正仿宋_GBK" w:eastAsia="方正仿宋_GBK" w:cs="方正仿宋_GBK"/>
          <w:color w:val="auto"/>
          <w:sz w:val="32"/>
          <w:szCs w:val="32"/>
          <w:highlight w:val="none"/>
          <w:lang w:val="en-US" w:eastAsia="zh-CN"/>
        </w:rPr>
        <w:t>1619</w:t>
      </w:r>
      <w:r>
        <w:rPr>
          <w:rFonts w:hint="eastAsia" w:ascii="方正仿宋_GBK" w:hAnsi="方正仿宋_GBK" w:eastAsia="方正仿宋_GBK" w:cs="方正仿宋_GBK"/>
          <w:color w:val="auto"/>
          <w:sz w:val="32"/>
          <w:szCs w:val="32"/>
          <w:highlight w:val="none"/>
        </w:rPr>
        <w:t>条</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rPr>
        <w:t>（三）依申请公开情况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Cs/>
          <w:color w:val="auto"/>
          <w:kern w:val="0"/>
          <w:sz w:val="32"/>
          <w:szCs w:val="32"/>
          <w:highlight w:val="none"/>
          <w:lang w:eastAsia="zh-CN"/>
        </w:rPr>
        <w:t>全</w:t>
      </w:r>
      <w:r>
        <w:rPr>
          <w:rFonts w:hint="eastAsia" w:ascii="方正仿宋_GBK" w:hAnsi="方正仿宋_GBK" w:eastAsia="方正仿宋_GBK" w:cs="方正仿宋_GBK"/>
          <w:color w:val="auto"/>
          <w:kern w:val="2"/>
          <w:sz w:val="32"/>
          <w:szCs w:val="32"/>
          <w:highlight w:val="none"/>
          <w:lang w:val="en-US" w:eastAsia="zh-CN" w:bidi="ar-SA"/>
        </w:rPr>
        <w:t>年现场接待信息公开相关咨询8人次，均耐心解释相关政策。我局建立局机关内部沟通协调机制，协调涉及多个部门的申请事项，确保按时、准确、规范答复告知申请人，保障公众依法行使知情权、参与权、表达权、监督权，明确依申请公开</w:t>
      </w:r>
      <w:r>
        <w:rPr>
          <w:rFonts w:hint="eastAsia" w:ascii="方正仿宋_GBK" w:hAnsi="方正仿宋_GBK" w:eastAsia="方正仿宋_GBK" w:cs="方正仿宋_GBK"/>
          <w:bCs/>
          <w:color w:val="auto"/>
          <w:kern w:val="0"/>
          <w:sz w:val="32"/>
          <w:szCs w:val="32"/>
          <w:highlight w:val="none"/>
        </w:rPr>
        <w:t>工作职责主体和信息申请受理、审查、办理、告知、答复等工作环节的具体要求。</w:t>
      </w:r>
      <w:r>
        <w:rPr>
          <w:rFonts w:hint="eastAsia" w:ascii="方正仿宋_GBK" w:hAnsi="方正仿宋_GBK" w:eastAsia="方正仿宋_GBK" w:cs="方正仿宋_GBK"/>
          <w:bCs/>
          <w:color w:val="auto"/>
          <w:kern w:val="0"/>
          <w:sz w:val="32"/>
          <w:szCs w:val="32"/>
          <w:highlight w:val="none"/>
          <w:lang w:eastAsia="zh-CN"/>
        </w:rPr>
        <w:t>同时，坚持以公开为常态，不断拓展主动公开范围</w:t>
      </w:r>
      <w:r>
        <w:rPr>
          <w:rFonts w:hint="eastAsia" w:ascii="方正仿宋_GBK" w:hAnsi="方正仿宋_GBK" w:eastAsia="方正仿宋_GBK" w:cs="方正仿宋_GBK"/>
          <w:bCs/>
          <w:color w:val="auto"/>
          <w:kern w:val="0"/>
          <w:sz w:val="32"/>
          <w:szCs w:val="32"/>
          <w:highlight w:val="none"/>
        </w:rPr>
        <w:t>，</w:t>
      </w:r>
      <w:r>
        <w:rPr>
          <w:rFonts w:hint="eastAsia" w:ascii="方正仿宋_GBK" w:hAnsi="方正仿宋_GBK" w:eastAsia="方正仿宋_GBK" w:cs="方正仿宋_GBK"/>
          <w:color w:val="auto"/>
          <w:sz w:val="32"/>
          <w:szCs w:val="32"/>
          <w:highlight w:val="none"/>
          <w:lang w:eastAsia="zh-CN"/>
        </w:rPr>
        <w:t>全年未接到</w:t>
      </w:r>
      <w:r>
        <w:rPr>
          <w:rFonts w:hint="eastAsia" w:ascii="方正仿宋_GBK" w:hAnsi="方正仿宋_GBK" w:eastAsia="方正仿宋_GBK" w:cs="方正仿宋_GBK"/>
          <w:bCs/>
          <w:color w:val="auto"/>
          <w:kern w:val="0"/>
          <w:sz w:val="32"/>
          <w:szCs w:val="32"/>
          <w:highlight w:val="none"/>
        </w:rPr>
        <w:t>公众关于政府信息公开的申请</w:t>
      </w:r>
      <w:r>
        <w:rPr>
          <w:rFonts w:hint="eastAsia" w:ascii="方正仿宋_GBK" w:hAnsi="方正仿宋_GBK" w:eastAsia="方正仿宋_GBK" w:cs="方正仿宋_GBK"/>
          <w:bCs/>
          <w:color w:val="auto"/>
          <w:kern w:val="0"/>
          <w:sz w:val="32"/>
          <w:szCs w:val="32"/>
          <w:highlight w:val="none"/>
          <w:lang w:val="en-US"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按要求协助市政府办公室办理申请人依申请公开工作2件次</w:t>
      </w:r>
      <w:r>
        <w:rPr>
          <w:rFonts w:hint="eastAsia" w:ascii="方正仿宋_GBK" w:hAnsi="方正仿宋_GBK" w:eastAsia="方正仿宋_GBK" w:cs="方正仿宋_GBK"/>
          <w:bCs/>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rPr>
        <w:t>（四）政府信息管理情况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b w:val="0"/>
          <w:bCs w:val="0"/>
          <w:sz w:val="32"/>
          <w:szCs w:val="32"/>
          <w:highlight w:val="yellow"/>
        </w:rPr>
      </w:pPr>
      <w:r>
        <w:rPr>
          <w:rFonts w:hint="eastAsia" w:ascii="方正仿宋_GBK" w:hAnsi="方正仿宋_GBK" w:eastAsia="方正仿宋_GBK" w:cs="方正仿宋_GBK"/>
          <w:color w:val="auto"/>
          <w:kern w:val="2"/>
          <w:sz w:val="32"/>
          <w:szCs w:val="32"/>
          <w:highlight w:val="none"/>
          <w:lang w:val="en-US" w:eastAsia="zh-CN" w:bidi="ar-SA"/>
        </w:rPr>
        <w:t>严格按照《南安市交通运输局主动公开政府信息处理流程规定》、《南安市交通运输局依申请公开政府信息处理流程规定》做好政府信息管理、保存等工作，严格开展保</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密审查工作，专人负责政府信息公开文件管理，</w:t>
      </w:r>
      <w:r>
        <w:rPr>
          <w:rFonts w:hint="eastAsia" w:ascii="方正仿宋_GBK" w:hAnsi="方正仿宋_GBK" w:eastAsia="方正仿宋_GBK" w:cs="方正仿宋_GBK"/>
          <w:b w:val="0"/>
          <w:bCs w:val="0"/>
          <w:color w:val="auto"/>
          <w:sz w:val="32"/>
          <w:szCs w:val="32"/>
          <w:highlight w:val="none"/>
          <w:lang w:eastAsia="zh-CN"/>
        </w:rPr>
        <w:t>每月</w:t>
      </w:r>
      <w:r>
        <w:rPr>
          <w:rFonts w:hint="eastAsia" w:ascii="方正仿宋_GBK" w:hAnsi="方正仿宋_GBK" w:eastAsia="方正仿宋_GBK" w:cs="方正仿宋_GBK"/>
          <w:b w:val="0"/>
          <w:bCs w:val="0"/>
          <w:color w:val="auto"/>
          <w:sz w:val="32"/>
          <w:szCs w:val="32"/>
          <w:highlight w:val="none"/>
          <w:lang w:val="en-US" w:eastAsia="zh-CN"/>
        </w:rPr>
        <w:t>5日和20日分两次向</w:t>
      </w:r>
      <w:r>
        <w:rPr>
          <w:rFonts w:hint="eastAsia" w:ascii="方正仿宋_GBK" w:hAnsi="方正仿宋_GBK" w:eastAsia="方正仿宋_GBK" w:cs="方正仿宋_GBK"/>
          <w:b w:val="0"/>
          <w:bCs w:val="0"/>
          <w:color w:val="auto"/>
          <w:sz w:val="32"/>
          <w:szCs w:val="32"/>
          <w:highlight w:val="none"/>
        </w:rPr>
        <w:t>南安市档案馆、图书馆</w:t>
      </w:r>
      <w:r>
        <w:rPr>
          <w:rFonts w:hint="eastAsia" w:ascii="方正仿宋_GBK" w:hAnsi="方正仿宋_GBK" w:eastAsia="方正仿宋_GBK" w:cs="方正仿宋_GBK"/>
          <w:b w:val="0"/>
          <w:bCs w:val="0"/>
          <w:color w:val="auto"/>
          <w:sz w:val="32"/>
          <w:szCs w:val="32"/>
          <w:highlight w:val="none"/>
          <w:lang w:val="en-US" w:eastAsia="zh-CN"/>
        </w:rPr>
        <w:t>集中送交</w:t>
      </w:r>
      <w:r>
        <w:rPr>
          <w:rFonts w:hint="eastAsia" w:ascii="方正仿宋_GBK" w:hAnsi="方正仿宋_GBK" w:eastAsia="方正仿宋_GBK" w:cs="方正仿宋_GBK"/>
          <w:b w:val="0"/>
          <w:bCs w:val="0"/>
          <w:color w:val="auto"/>
          <w:sz w:val="32"/>
          <w:szCs w:val="32"/>
          <w:highlight w:val="none"/>
        </w:rPr>
        <w:t>主动公开</w:t>
      </w:r>
      <w:r>
        <w:rPr>
          <w:rFonts w:hint="eastAsia" w:ascii="方正仿宋_GBK" w:hAnsi="方正仿宋_GBK" w:eastAsia="方正仿宋_GBK" w:cs="方正仿宋_GBK"/>
          <w:b w:val="0"/>
          <w:bCs w:val="0"/>
          <w:color w:val="auto"/>
          <w:sz w:val="32"/>
          <w:szCs w:val="32"/>
          <w:highlight w:val="none"/>
          <w:lang w:eastAsia="zh-CN"/>
        </w:rPr>
        <w:t>的政府</w:t>
      </w:r>
      <w:r>
        <w:rPr>
          <w:rFonts w:hint="eastAsia" w:ascii="方正仿宋_GBK" w:hAnsi="方正仿宋_GBK" w:eastAsia="方正仿宋_GBK" w:cs="方正仿宋_GBK"/>
          <w:b w:val="0"/>
          <w:bCs w:val="0"/>
          <w:color w:val="auto"/>
          <w:sz w:val="32"/>
          <w:szCs w:val="32"/>
          <w:highlight w:val="none"/>
        </w:rPr>
        <w:t>信息</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rPr>
        <w:t>（五）平台建设情况</w:t>
      </w:r>
    </w:p>
    <w:p>
      <w:pPr>
        <w:keepNext w:val="0"/>
        <w:keepLines w:val="0"/>
        <w:pageBreakBefore w:val="0"/>
        <w:widowControl/>
        <w:kinsoku/>
        <w:wordWrap/>
        <w:overflowPunct/>
        <w:topLinePunct w:val="0"/>
        <w:bidi w:val="0"/>
        <w:snapToGrid/>
        <w:spacing w:line="560" w:lineRule="exact"/>
        <w:ind w:firstLine="640" w:firstLineChars="200"/>
        <w:rPr>
          <w:rFonts w:hint="eastAsia" w:ascii="方正仿宋_GBK" w:hAnsi="方正仿宋_GBK" w:eastAsia="方正仿宋_GBK" w:cs="方正仿宋_GBK"/>
          <w:b w:val="0"/>
          <w:bCs w:val="0"/>
          <w:color w:val="auto"/>
          <w:sz w:val="32"/>
          <w:szCs w:val="32"/>
          <w:highlight w:val="none"/>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以</w:t>
      </w:r>
      <w:r>
        <w:rPr>
          <w:rFonts w:hint="eastAsia" w:ascii="方正仿宋_GBK" w:hAnsi="方正仿宋_GBK" w:eastAsia="方正仿宋_GBK" w:cs="方正仿宋_GBK"/>
          <w:b w:val="0"/>
          <w:bCs w:val="0"/>
          <w:color w:val="auto"/>
          <w:sz w:val="32"/>
          <w:szCs w:val="32"/>
          <w:highlight w:val="none"/>
        </w:rPr>
        <w:t>南安市人民政府网站作为我</w:t>
      </w:r>
      <w:r>
        <w:rPr>
          <w:rFonts w:hint="eastAsia" w:ascii="方正仿宋_GBK" w:hAnsi="方正仿宋_GBK" w:eastAsia="方正仿宋_GBK" w:cs="方正仿宋_GBK"/>
          <w:b w:val="0"/>
          <w:bCs w:val="0"/>
          <w:color w:val="auto"/>
          <w:sz w:val="32"/>
          <w:szCs w:val="32"/>
          <w:highlight w:val="none"/>
          <w:lang w:eastAsia="zh-CN"/>
        </w:rPr>
        <w:t>局</w:t>
      </w:r>
      <w:r>
        <w:rPr>
          <w:rFonts w:hint="eastAsia" w:ascii="方正仿宋_GBK" w:hAnsi="方正仿宋_GBK" w:eastAsia="方正仿宋_GBK" w:cs="方正仿宋_GBK"/>
          <w:b w:val="0"/>
          <w:bCs w:val="0"/>
          <w:color w:val="auto"/>
          <w:sz w:val="32"/>
          <w:szCs w:val="32"/>
          <w:highlight w:val="none"/>
        </w:rPr>
        <w:t>政府信息公开渠道，及时更新本级本部门政府信息</w:t>
      </w:r>
      <w:r>
        <w:rPr>
          <w:rFonts w:hint="eastAsia" w:ascii="方正仿宋_GBK" w:hAnsi="方正仿宋_GBK" w:eastAsia="方正仿宋_GBK" w:cs="方正仿宋_GBK"/>
          <w:b w:val="0"/>
          <w:bCs w:val="0"/>
          <w:color w:val="auto"/>
          <w:sz w:val="32"/>
          <w:szCs w:val="32"/>
          <w:highlight w:val="none"/>
          <w:shd w:val="clear" w:color="auto" w:fill="auto"/>
          <w:lang w:val="en-US" w:eastAsia="zh-CN"/>
        </w:rPr>
        <w:t>。拓展</w:t>
      </w:r>
      <w:r>
        <w:rPr>
          <w:rFonts w:hint="eastAsia" w:ascii="方正仿宋_GBK" w:hAnsi="方正仿宋_GBK" w:eastAsia="方正仿宋_GBK" w:cs="方正仿宋_GBK"/>
          <w:b w:val="0"/>
          <w:bCs w:val="0"/>
          <w:color w:val="auto"/>
          <w:sz w:val="32"/>
          <w:szCs w:val="32"/>
          <w:highlight w:val="none"/>
        </w:rPr>
        <w:t>政务公开平台渠道</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sz w:val="32"/>
          <w:szCs w:val="32"/>
          <w:highlight w:val="none"/>
        </w:rPr>
        <w:t>在南安市人民政府门口、交通运输局机关及各下属单位大院内设置公开栏，将机构设置、办事程序、服务、行政许可、行政处罚等信息予以公开</w:t>
      </w:r>
      <w:r>
        <w:rPr>
          <w:rFonts w:hint="eastAsia" w:ascii="方正仿宋_GBK" w:hAnsi="方正仿宋_GBK" w:eastAsia="方正仿宋_GBK" w:cs="方正仿宋_GBK"/>
          <w:b w:val="0"/>
          <w:bCs w:val="0"/>
          <w:color w:val="auto"/>
          <w:sz w:val="32"/>
          <w:szCs w:val="32"/>
          <w:highlight w:val="none"/>
          <w:lang w:val="en-US" w:eastAsia="zh-CN"/>
        </w:rPr>
        <w:t>；</w:t>
      </w:r>
      <w:r>
        <w:rPr>
          <w:rFonts w:hint="eastAsia" w:ascii="方正仿宋_GBK" w:hAnsi="方正仿宋_GBK" w:eastAsia="方正仿宋_GBK" w:cs="方正仿宋_GBK"/>
          <w:b w:val="0"/>
          <w:bCs w:val="0"/>
          <w:color w:val="auto"/>
          <w:sz w:val="32"/>
          <w:szCs w:val="32"/>
          <w:highlight w:val="none"/>
          <w:lang w:eastAsia="zh-CN"/>
        </w:rPr>
        <w:t>通过微信</w:t>
      </w:r>
      <w:r>
        <w:rPr>
          <w:rFonts w:hint="eastAsia" w:ascii="方正仿宋_GBK" w:hAnsi="方正仿宋_GBK" w:eastAsia="方正仿宋_GBK" w:cs="方正仿宋_GBK"/>
          <w:b w:val="0"/>
          <w:bCs w:val="0"/>
          <w:color w:val="auto"/>
          <w:sz w:val="32"/>
          <w:szCs w:val="32"/>
          <w:highlight w:val="none"/>
        </w:rPr>
        <w:t>公</w:t>
      </w:r>
      <w:r>
        <w:rPr>
          <w:rFonts w:hint="eastAsia" w:ascii="方正仿宋_GBK" w:hAnsi="方正仿宋_GBK" w:eastAsia="方正仿宋_GBK" w:cs="方正仿宋_GBK"/>
          <w:b w:val="0"/>
          <w:bCs w:val="0"/>
          <w:color w:val="auto"/>
          <w:sz w:val="32"/>
          <w:szCs w:val="32"/>
          <w:highlight w:val="none"/>
          <w:lang w:eastAsia="zh-CN"/>
        </w:rPr>
        <w:t>众</w:t>
      </w:r>
      <w:r>
        <w:rPr>
          <w:rFonts w:hint="eastAsia" w:ascii="方正仿宋_GBK" w:hAnsi="方正仿宋_GBK" w:eastAsia="方正仿宋_GBK" w:cs="方正仿宋_GBK"/>
          <w:b w:val="0"/>
          <w:bCs w:val="0"/>
          <w:color w:val="auto"/>
          <w:sz w:val="32"/>
          <w:szCs w:val="32"/>
          <w:highlight w:val="none"/>
        </w:rPr>
        <w:t>号及时更新相关交通政策，解读和回应当前交通</w:t>
      </w:r>
      <w:r>
        <w:rPr>
          <w:rFonts w:hint="eastAsia" w:ascii="方正仿宋_GBK" w:hAnsi="方正仿宋_GBK" w:eastAsia="方正仿宋_GBK" w:cs="方正仿宋_GBK"/>
          <w:b w:val="0"/>
          <w:bCs w:val="0"/>
          <w:color w:val="auto"/>
          <w:sz w:val="32"/>
          <w:szCs w:val="32"/>
          <w:highlight w:val="none"/>
          <w:lang w:eastAsia="zh-CN"/>
        </w:rPr>
        <w:t>运输</w:t>
      </w:r>
      <w:r>
        <w:rPr>
          <w:rFonts w:hint="eastAsia" w:ascii="方正仿宋_GBK" w:hAnsi="方正仿宋_GBK" w:eastAsia="方正仿宋_GBK" w:cs="方正仿宋_GBK"/>
          <w:b w:val="0"/>
          <w:bCs w:val="0"/>
          <w:color w:val="auto"/>
          <w:sz w:val="32"/>
          <w:szCs w:val="32"/>
          <w:highlight w:val="none"/>
        </w:rPr>
        <w:t>工作</w:t>
      </w:r>
      <w:r>
        <w:rPr>
          <w:rFonts w:hint="eastAsia" w:ascii="方正仿宋_GBK" w:hAnsi="方正仿宋_GBK" w:eastAsia="方正仿宋_GBK" w:cs="方正仿宋_GBK"/>
          <w:b w:val="0"/>
          <w:bCs w:val="0"/>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highlight w:val="none"/>
        </w:rPr>
      </w:pPr>
      <w:r>
        <w:rPr>
          <w:rFonts w:hint="eastAsia" w:ascii="楷体" w:hAnsi="楷体" w:eastAsia="楷体" w:cs="楷体"/>
          <w:b w:val="0"/>
          <w:bCs w:val="0"/>
          <w:sz w:val="32"/>
          <w:szCs w:val="32"/>
          <w:highlight w:val="none"/>
        </w:rPr>
        <w:t>（六）监督保障情况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以局主要领导为组长，分管领导为副组长，相关科室</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负责人为成员的</w:t>
      </w:r>
      <w:r>
        <w:rPr>
          <w:rFonts w:hint="eastAsia" w:ascii="方正仿宋_GBK" w:hAnsi="方正仿宋_GBK" w:eastAsia="方正仿宋_GBK" w:cs="方正仿宋_GBK"/>
          <w:color w:val="auto"/>
          <w:sz w:val="32"/>
          <w:szCs w:val="32"/>
          <w:highlight w:val="none"/>
          <w:lang w:eastAsia="zh-CN"/>
        </w:rPr>
        <w:t>政府信息</w:t>
      </w:r>
      <w:r>
        <w:rPr>
          <w:rFonts w:hint="eastAsia" w:ascii="方正仿宋_GBK" w:hAnsi="方正仿宋_GBK" w:eastAsia="方正仿宋_GBK" w:cs="方正仿宋_GBK"/>
          <w:color w:val="auto"/>
          <w:sz w:val="32"/>
          <w:szCs w:val="32"/>
          <w:highlight w:val="none"/>
        </w:rPr>
        <w:t>公开</w:t>
      </w:r>
      <w:r>
        <w:rPr>
          <w:rFonts w:hint="eastAsia" w:ascii="方正仿宋_GBK" w:hAnsi="方正仿宋_GBK" w:eastAsia="方正仿宋_GBK" w:cs="方正仿宋_GBK"/>
          <w:color w:val="auto"/>
          <w:sz w:val="32"/>
          <w:szCs w:val="32"/>
          <w:highlight w:val="none"/>
          <w:lang w:eastAsia="zh-CN"/>
        </w:rPr>
        <w:t>工作</w:t>
      </w:r>
      <w:r>
        <w:rPr>
          <w:rFonts w:hint="eastAsia" w:ascii="方正仿宋_GBK" w:hAnsi="方正仿宋_GBK" w:eastAsia="方正仿宋_GBK" w:cs="方正仿宋_GBK"/>
          <w:color w:val="auto"/>
          <w:sz w:val="32"/>
          <w:szCs w:val="32"/>
          <w:highlight w:val="none"/>
        </w:rPr>
        <w:t>领导小组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加强交通</w:t>
      </w:r>
      <w:r>
        <w:rPr>
          <w:rFonts w:hint="eastAsia" w:ascii="方正仿宋_GBK" w:hAnsi="方正仿宋_GBK" w:eastAsia="方正仿宋_GBK" w:cs="方正仿宋_GBK"/>
          <w:color w:val="auto"/>
          <w:sz w:val="32"/>
          <w:szCs w:val="32"/>
          <w:highlight w:val="none"/>
          <w:lang w:eastAsia="zh-CN"/>
        </w:rPr>
        <w:t>政府信息公开工作的领导和监督，促进落实《南安市人民政府办公室关于做好当前政务公开工作的通知》等文件要求，并将落实政务公开纳入</w:t>
      </w:r>
      <w:r>
        <w:rPr>
          <w:rFonts w:hint="eastAsia" w:ascii="方正仿宋_GBK" w:hAnsi="方正仿宋_GBK" w:eastAsia="方正仿宋_GBK" w:cs="方正仿宋_GBK"/>
          <w:color w:val="auto"/>
          <w:sz w:val="32"/>
          <w:szCs w:val="32"/>
          <w:highlight w:val="none"/>
          <w:lang w:val="en-US" w:eastAsia="zh-CN"/>
        </w:rPr>
        <w:t>干部年度目标考核</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kern w:val="0"/>
          <w:sz w:val="32"/>
          <w:szCs w:val="32"/>
          <w:highlight w:val="none"/>
        </w:rPr>
      </w:pPr>
      <w:r>
        <w:rPr>
          <w:rFonts w:hint="eastAsia" w:ascii="黑体" w:hAnsi="黑体" w:eastAsia="黑体" w:cs="黑体"/>
          <w:b w:val="0"/>
          <w:bCs w:val="0"/>
          <w:color w:val="000000"/>
          <w:kern w:val="0"/>
          <w:sz w:val="32"/>
          <w:szCs w:val="32"/>
          <w:highlight w:val="none"/>
        </w:rPr>
        <w:t>二、主动公开政府信息情况</w:t>
      </w:r>
    </w:p>
    <w:tbl>
      <w:tblPr>
        <w:tblStyle w:val="5"/>
        <w:tblW w:w="982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2851"/>
        <w:gridCol w:w="2755"/>
        <w:gridCol w:w="2005"/>
        <w:gridCol w:w="22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9820"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信息内容</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本年新制作数量</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本年新公开数量</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对外公开总数量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规章</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0</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0</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规范性文件</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w:t>
            </w:r>
            <w:bookmarkStart w:id="0" w:name="_GoBack"/>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9820"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信息内容</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上一年项目数量</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本年增/减</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行政许可</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151</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-26</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11366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其他对外管理服务事项</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40</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-21</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8572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9820"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信息内容</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上一年项目数量</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本年增/减</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行政处罚</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169</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-11</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893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行政强制</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w:t>
            </w:r>
          </w:p>
        </w:tc>
        <w:tc>
          <w:tcPr>
            <w:tcW w:w="20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0</w:t>
            </w:r>
          </w:p>
        </w:tc>
        <w:tc>
          <w:tcPr>
            <w:tcW w:w="22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344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9820"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信息内容</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上一年项目数量</w:t>
            </w:r>
          </w:p>
        </w:tc>
        <w:tc>
          <w:tcPr>
            <w:tcW w:w="421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行政事业性收费</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4</w:t>
            </w:r>
          </w:p>
        </w:tc>
        <w:tc>
          <w:tcPr>
            <w:tcW w:w="421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9820"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信息内容</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采购项目数量</w:t>
            </w:r>
          </w:p>
        </w:tc>
        <w:tc>
          <w:tcPr>
            <w:tcW w:w="421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jc w:val="center"/>
        </w:trPr>
        <w:tc>
          <w:tcPr>
            <w:tcW w:w="28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政府集中采购</w:t>
            </w:r>
          </w:p>
        </w:tc>
        <w:tc>
          <w:tcPr>
            <w:tcW w:w="2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6</w:t>
            </w:r>
          </w:p>
        </w:tc>
        <w:tc>
          <w:tcPr>
            <w:tcW w:w="4214"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5303736</w:t>
            </w:r>
          </w:p>
        </w:tc>
      </w:tr>
    </w:tbl>
    <w:p>
      <w:pPr>
        <w:keepNext w:val="0"/>
        <w:keepLines w:val="0"/>
        <w:pageBreakBefore w:val="0"/>
        <w:widowControl/>
        <w:kinsoku/>
        <w:wordWrap/>
        <w:overflowPunct/>
        <w:topLinePunct w:val="0"/>
        <w:bidi w:val="0"/>
        <w:snapToGrid/>
        <w:spacing w:line="560" w:lineRule="exact"/>
        <w:ind w:firstLine="640" w:firstLineChars="200"/>
        <w:rPr>
          <w:rFonts w:hint="eastAsia" w:ascii="黑体" w:hAnsi="黑体" w:eastAsia="黑体" w:cs="黑体"/>
          <w:b w:val="0"/>
          <w:bCs w:val="0"/>
          <w:color w:val="000000"/>
          <w:kern w:val="0"/>
          <w:sz w:val="32"/>
          <w:szCs w:val="32"/>
          <w:highlight w:val="none"/>
        </w:rPr>
      </w:pPr>
      <w:r>
        <w:rPr>
          <w:rFonts w:hint="eastAsia" w:ascii="黑体" w:hAnsi="黑体" w:eastAsia="黑体" w:cs="黑体"/>
          <w:b w:val="0"/>
          <w:bCs w:val="0"/>
          <w:color w:val="000000"/>
          <w:kern w:val="0"/>
          <w:sz w:val="32"/>
          <w:szCs w:val="32"/>
          <w:highlight w:val="none"/>
        </w:rPr>
        <w:t>三、收到和处理政府信息公开申请情况</w:t>
      </w:r>
    </w:p>
    <w:tbl>
      <w:tblPr>
        <w:tblStyle w:val="5"/>
        <w:tblW w:w="9819"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21"/>
        <w:gridCol w:w="1182"/>
        <w:gridCol w:w="2961"/>
        <w:gridCol w:w="611"/>
        <w:gridCol w:w="603"/>
        <w:gridCol w:w="591"/>
        <w:gridCol w:w="819"/>
        <w:gridCol w:w="831"/>
        <w:gridCol w:w="623"/>
        <w:gridCol w:w="7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 w:hRule="atLeast"/>
          <w:tblCellSpacing w:w="0" w:type="dxa"/>
          <w:jc w:val="center"/>
        </w:trPr>
        <w:tc>
          <w:tcPr>
            <w:tcW w:w="4964" w:type="dxa"/>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（本列数据的勾稽关系为：第一项加第二项之和，等于第三项加第四项之和）</w:t>
            </w:r>
          </w:p>
        </w:tc>
        <w:tc>
          <w:tcPr>
            <w:tcW w:w="4855"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1" w:hRule="atLeast"/>
          <w:tblCellSpacing w:w="0" w:type="dxa"/>
          <w:jc w:val="center"/>
        </w:trPr>
        <w:tc>
          <w:tcPr>
            <w:tcW w:w="4964" w:type="dxa"/>
            <w:gridSpan w:val="3"/>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61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自然人</w:t>
            </w:r>
          </w:p>
        </w:tc>
        <w:tc>
          <w:tcPr>
            <w:tcW w:w="3467"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法人或其他组织</w:t>
            </w:r>
          </w:p>
        </w:tc>
        <w:tc>
          <w:tcPr>
            <w:tcW w:w="77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2" w:hRule="atLeast"/>
          <w:tblCellSpacing w:w="0" w:type="dxa"/>
          <w:jc w:val="center"/>
        </w:trPr>
        <w:tc>
          <w:tcPr>
            <w:tcW w:w="4964" w:type="dxa"/>
            <w:gridSpan w:val="3"/>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61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商业企业</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科研机构</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社会公益组织</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法律服务机构</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w:t>
            </w:r>
          </w:p>
        </w:tc>
        <w:tc>
          <w:tcPr>
            <w:tcW w:w="77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4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一、本年新收政府信息公开申请数量</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4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二、上年结转政府信息公开申请数量</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1" w:hRule="atLeast"/>
          <w:tblCellSpacing w:w="0" w:type="dxa"/>
          <w:jc w:val="center"/>
        </w:trPr>
        <w:tc>
          <w:tcPr>
            <w:tcW w:w="82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三、本年度办理结果</w:t>
            </w:r>
          </w:p>
        </w:tc>
        <w:tc>
          <w:tcPr>
            <w:tcW w:w="414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（一）予以公开</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4" w:hRule="atLeast"/>
          <w:tblCellSpacing w:w="0" w:type="dxa"/>
          <w:jc w:val="center"/>
        </w:trPr>
        <w:tc>
          <w:tcPr>
            <w:tcW w:w="82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414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（二）部分公开（区分处理的，只计这一情形，不计其他情形）</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1" w:hRule="atLeast"/>
          <w:tblCellSpacing w:w="0" w:type="dxa"/>
          <w:jc w:val="center"/>
        </w:trPr>
        <w:tc>
          <w:tcPr>
            <w:tcW w:w="82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118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（三）不予公开</w:t>
            </w: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1.属于国家秘密</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82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2.其他法律行政法规禁止公开</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1" w:hRule="atLeast"/>
          <w:tblCellSpacing w:w="0" w:type="dxa"/>
          <w:jc w:val="center"/>
        </w:trPr>
        <w:tc>
          <w:tcPr>
            <w:tcW w:w="82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3.危及“三安全一稳定”</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82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4.保护第三方合法权益</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5.属于三类内部事务信息</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6.属于四类过程性信息</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7.属于行政执法案卷</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8.属于行政查询事项</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（四）无法提供</w:t>
            </w: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1.本机关不掌握相关政府信息</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2"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2.没有现成信息需要另行制作</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3.补正后申请内容仍不明确</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9"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（五）不予处理</w:t>
            </w: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1.信访举报投诉类申请</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1"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2.重复申请</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3.要求提供公开出版物</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05"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4.无正当理由大量反复申请</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4"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11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296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5.要求行政机关确认或重新出具已获取信息</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1"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414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（六）其他处理</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3" w:hRule="atLeast"/>
          <w:tblCellSpacing w:w="0" w:type="dxa"/>
          <w:jc w:val="center"/>
        </w:trPr>
        <w:tc>
          <w:tcPr>
            <w:tcW w:w="821" w:type="dxa"/>
            <w:vMerge w:val="continue"/>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jc w:val="left"/>
              <w:textAlignment w:val="auto"/>
              <w:rPr>
                <w:rFonts w:hint="eastAsia" w:ascii="宋体" w:hAnsi="宋体" w:eastAsia="宋体" w:cs="宋体"/>
                <w:color w:val="555555"/>
                <w:sz w:val="24"/>
                <w:szCs w:val="24"/>
                <w:highlight w:val="none"/>
              </w:rPr>
            </w:pPr>
          </w:p>
        </w:tc>
        <w:tc>
          <w:tcPr>
            <w:tcW w:w="4143"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（七）总计</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 w:hRule="atLeast"/>
          <w:tblCellSpacing w:w="0" w:type="dxa"/>
          <w:jc w:val="center"/>
        </w:trPr>
        <w:tc>
          <w:tcPr>
            <w:tcW w:w="4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四、结转下年度继续办理</w:t>
            </w:r>
          </w:p>
        </w:tc>
        <w:tc>
          <w:tcPr>
            <w:tcW w:w="6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8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7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bl>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kern w:val="0"/>
          <w:sz w:val="32"/>
          <w:szCs w:val="32"/>
          <w:highlight w:val="none"/>
        </w:rPr>
      </w:pPr>
      <w:r>
        <w:rPr>
          <w:rFonts w:hint="eastAsia" w:ascii="黑体" w:hAnsi="黑体" w:eastAsia="黑体" w:cs="黑体"/>
          <w:b w:val="0"/>
          <w:bCs w:val="0"/>
          <w:color w:val="000000"/>
          <w:kern w:val="0"/>
          <w:sz w:val="32"/>
          <w:szCs w:val="32"/>
          <w:highlight w:val="none"/>
        </w:rPr>
        <w:t>四、政府信息公开行政复议、行政诉讼情况</w:t>
      </w:r>
    </w:p>
    <w:tbl>
      <w:tblPr>
        <w:tblStyle w:val="5"/>
        <w:tblW w:w="8999" w:type="dxa"/>
        <w:tblCellSpacing w:w="0" w:type="dxa"/>
        <w:tblInd w:w="-6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06"/>
        <w:gridCol w:w="575"/>
        <w:gridCol w:w="596"/>
        <w:gridCol w:w="607"/>
        <w:gridCol w:w="606"/>
        <w:gridCol w:w="601"/>
        <w:gridCol w:w="586"/>
        <w:gridCol w:w="607"/>
        <w:gridCol w:w="607"/>
        <w:gridCol w:w="602"/>
        <w:gridCol w:w="600"/>
        <w:gridCol w:w="600"/>
        <w:gridCol w:w="600"/>
        <w:gridCol w:w="600"/>
        <w:gridCol w:w="6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6" w:hRule="atLeast"/>
          <w:tblCellSpacing w:w="0" w:type="dxa"/>
        </w:trPr>
        <w:tc>
          <w:tcPr>
            <w:tcW w:w="2990"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行政复议</w:t>
            </w:r>
          </w:p>
        </w:tc>
        <w:tc>
          <w:tcPr>
            <w:tcW w:w="6009" w:type="dxa"/>
            <w:gridSpan w:val="10"/>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1" w:hRule="atLeast"/>
          <w:tblCellSpacing w:w="0" w:type="dxa"/>
        </w:trPr>
        <w:tc>
          <w:tcPr>
            <w:tcW w:w="60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结果维持</w:t>
            </w:r>
          </w:p>
        </w:tc>
        <w:tc>
          <w:tcPr>
            <w:tcW w:w="57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结果纠正</w:t>
            </w:r>
          </w:p>
        </w:tc>
        <w:tc>
          <w:tcPr>
            <w:tcW w:w="59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其他结果</w:t>
            </w:r>
          </w:p>
        </w:tc>
        <w:tc>
          <w:tcPr>
            <w:tcW w:w="60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尚未审结</w:t>
            </w:r>
          </w:p>
        </w:tc>
        <w:tc>
          <w:tcPr>
            <w:tcW w:w="60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总计</w:t>
            </w:r>
          </w:p>
        </w:tc>
        <w:tc>
          <w:tcPr>
            <w:tcW w:w="3003"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未经复议直接起诉</w:t>
            </w:r>
          </w:p>
        </w:tc>
        <w:tc>
          <w:tcPr>
            <w:tcW w:w="3006"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60" w:hRule="atLeast"/>
          <w:tblCellSpacing w:w="0" w:type="dxa"/>
        </w:trPr>
        <w:tc>
          <w:tcPr>
            <w:tcW w:w="6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57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5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60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6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p>
        </w:tc>
        <w:tc>
          <w:tcPr>
            <w:tcW w:w="6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结果维持</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结果纠正</w:t>
            </w:r>
          </w:p>
        </w:tc>
        <w:tc>
          <w:tcPr>
            <w:tcW w:w="6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其他结果</w:t>
            </w:r>
          </w:p>
        </w:tc>
        <w:tc>
          <w:tcPr>
            <w:tcW w:w="6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尚未审结</w:t>
            </w:r>
          </w:p>
        </w:tc>
        <w:tc>
          <w:tcPr>
            <w:tcW w:w="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总计</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结果维持</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结果纠正</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其他结果</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尚未审结</w:t>
            </w:r>
          </w:p>
        </w:tc>
        <w:tc>
          <w:tcPr>
            <w:tcW w:w="6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6" w:hRule="atLeast"/>
          <w:tblCellSpacing w:w="0" w:type="dxa"/>
        </w:trPr>
        <w:tc>
          <w:tcPr>
            <w:tcW w:w="6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5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c>
          <w:tcPr>
            <w:tcW w:w="60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w:t>
            </w:r>
          </w:p>
        </w:tc>
      </w:tr>
    </w:tbl>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kern w:val="0"/>
          <w:sz w:val="32"/>
          <w:szCs w:val="32"/>
          <w:highlight w:val="none"/>
        </w:rPr>
      </w:pPr>
      <w:r>
        <w:rPr>
          <w:rFonts w:hint="eastAsia" w:ascii="黑体" w:hAnsi="黑体" w:eastAsia="黑体" w:cs="黑体"/>
          <w:b w:val="0"/>
          <w:bCs w:val="0"/>
          <w:color w:val="000000"/>
          <w:kern w:val="0"/>
          <w:sz w:val="32"/>
          <w:szCs w:val="32"/>
          <w:highlight w:val="none"/>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left="0" w:right="0" w:rightChars="0" w:firstLine="640" w:firstLineChars="200"/>
        <w:jc w:val="both"/>
        <w:textAlignment w:val="auto"/>
        <w:rPr>
          <w:rFonts w:hint="eastAsia" w:ascii="楷体" w:hAnsi="楷体" w:eastAsia="楷体" w:cs="楷体"/>
          <w:b w:val="0"/>
          <w:bCs w:val="0"/>
          <w:color w:val="auto"/>
          <w:sz w:val="32"/>
          <w:szCs w:val="32"/>
          <w:highlight w:val="none"/>
          <w:shd w:val="clear" w:color="auto" w:fill="auto"/>
          <w:lang w:val="en-US" w:eastAsia="zh-CN"/>
        </w:rPr>
      </w:pPr>
      <w:r>
        <w:rPr>
          <w:rFonts w:hint="eastAsia" w:ascii="楷体" w:hAnsi="楷体" w:eastAsia="楷体" w:cs="楷体"/>
          <w:b w:val="0"/>
          <w:bCs w:val="0"/>
          <w:color w:val="auto"/>
          <w:sz w:val="32"/>
          <w:szCs w:val="32"/>
          <w:highlight w:val="none"/>
          <w:shd w:val="clear" w:color="auto" w:fill="auto"/>
          <w:lang w:val="en-US" w:eastAsia="zh-CN"/>
        </w:rPr>
        <w:t>（一）存在的主要问题</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left="0" w:right="0" w:rightChars="0" w:firstLine="640" w:firstLineChars="200"/>
        <w:jc w:val="both"/>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今年以来，我局政府信息工作取得很大的进展，但还有一些需要改进的地方，一是负责信息公开工作的同志都是兼职，工作安排会存在顾此失彼，职能科室对公开的内容把握也不够充分；二是政策解读回和互动交流方面做得还不够。</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left="0" w:right="0" w:rightChars="0" w:firstLine="640" w:firstLineChars="200"/>
        <w:jc w:val="both"/>
        <w:textAlignment w:val="auto"/>
        <w:rPr>
          <w:rFonts w:hint="eastAsia" w:ascii="楷体" w:hAnsi="楷体" w:eastAsia="楷体" w:cs="楷体"/>
          <w:b w:val="0"/>
          <w:bCs w:val="0"/>
          <w:color w:val="auto"/>
          <w:sz w:val="32"/>
          <w:szCs w:val="32"/>
          <w:highlight w:val="none"/>
          <w:shd w:val="clear" w:color="auto" w:fill="auto"/>
          <w:lang w:val="en-US" w:eastAsia="zh-CN"/>
        </w:rPr>
      </w:pPr>
      <w:r>
        <w:rPr>
          <w:rFonts w:hint="eastAsia" w:ascii="楷体" w:hAnsi="楷体" w:eastAsia="楷体" w:cs="楷体"/>
          <w:b w:val="0"/>
          <w:bCs w:val="0"/>
          <w:color w:val="auto"/>
          <w:sz w:val="32"/>
          <w:szCs w:val="32"/>
          <w:highlight w:val="none"/>
          <w:shd w:val="clear" w:color="auto" w:fill="auto"/>
          <w:lang w:val="en-US" w:eastAsia="zh-CN"/>
        </w:rPr>
        <w:t>（二）改进情况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40" w:lineRule="exact"/>
        <w:ind w:left="0" w:right="0" w:rightChars="0" w:firstLine="640" w:firstLineChars="200"/>
        <w:jc w:val="both"/>
        <w:textAlignment w:val="auto"/>
        <w:rPr>
          <w:rFonts w:hint="eastAsia" w:ascii="方正仿宋_GBK" w:hAnsi="方正仿宋_GBK" w:eastAsia="方正仿宋_GBK" w:cs="方正仿宋_GBK"/>
          <w:b w:val="0"/>
          <w:bCs w:val="0"/>
          <w:color w:val="auto"/>
          <w:sz w:val="32"/>
          <w:szCs w:val="32"/>
          <w:highlight w:val="none"/>
          <w:shd w:val="clear" w:color="auto" w:fill="auto"/>
          <w:lang w:val="en-US" w:eastAsia="zh-CN"/>
        </w:rPr>
      </w:pPr>
      <w:r>
        <w:rPr>
          <w:rFonts w:hint="eastAsia" w:ascii="方正仿宋_GBK" w:hAnsi="方正仿宋_GBK" w:eastAsia="方正仿宋_GBK" w:cs="方正仿宋_GBK"/>
          <w:b w:val="0"/>
          <w:bCs w:val="0"/>
          <w:color w:val="auto"/>
          <w:sz w:val="32"/>
          <w:szCs w:val="32"/>
          <w:highlight w:val="none"/>
          <w:shd w:val="clear" w:color="auto" w:fill="auto"/>
          <w:lang w:val="en-US" w:eastAsia="zh-CN"/>
        </w:rPr>
        <w:t>我局将进一步健全政府信息公开机制，创新公开渠道，拓展和提升政府信息公开的广度和深度，主动接受监督。一是，落实信息公开职责，完善制度，把政府信息公开工作责任到人，建立起各负其责、运转协调的政府信息公开长效机制；加强业务培训学习，提高各职能科室人员的业务能力和责任感。二是认真落实国家和省、地、市政府信息公开工作要求，切实加强政策性文件的解读工作，积极开展网上互动交流，拓展信息公开渠道，通过微信公众号等形式创新政府信息公开渠道，优化公开服务，不断推进政府信息公开工作。</w:t>
      </w:r>
    </w:p>
    <w:p>
      <w:pPr>
        <w:keepNext w:val="0"/>
        <w:keepLines w:val="0"/>
        <w:pageBreakBefore w:val="0"/>
        <w:widowControl/>
        <w:kinsoku/>
        <w:wordWrap/>
        <w:overflowPunct/>
        <w:topLinePunct w:val="0"/>
        <w:bidi w:val="0"/>
        <w:snapToGrid/>
        <w:spacing w:line="560" w:lineRule="exact"/>
        <w:ind w:firstLine="640" w:firstLineChars="200"/>
        <w:rPr>
          <w:rFonts w:hint="eastAsia" w:ascii="黑体" w:hAnsi="黑体" w:eastAsia="黑体" w:cs="黑体"/>
          <w:b w:val="0"/>
          <w:bCs w:val="0"/>
          <w:color w:val="000000"/>
          <w:kern w:val="0"/>
          <w:sz w:val="32"/>
          <w:szCs w:val="32"/>
          <w:highlight w:val="none"/>
        </w:rPr>
      </w:pPr>
      <w:r>
        <w:rPr>
          <w:rFonts w:hint="eastAsia" w:ascii="黑体" w:hAnsi="黑体" w:eastAsia="黑体" w:cs="黑体"/>
          <w:b w:val="0"/>
          <w:bCs w:val="0"/>
          <w:color w:val="000000"/>
          <w:kern w:val="0"/>
          <w:sz w:val="32"/>
          <w:szCs w:val="32"/>
          <w:highlight w:val="none"/>
        </w:rPr>
        <w:t>六、其他需要报告的事项</w:t>
      </w:r>
    </w:p>
    <w:p>
      <w:pPr>
        <w:keepNext w:val="0"/>
        <w:keepLines w:val="0"/>
        <w:pageBreakBefore w:val="0"/>
        <w:widowControl/>
        <w:kinsoku/>
        <w:wordWrap/>
        <w:overflowPunct/>
        <w:topLinePunct w:val="0"/>
        <w:bidi w:val="0"/>
        <w:snapToGrid/>
        <w:spacing w:line="560" w:lineRule="exact"/>
        <w:ind w:firstLine="640" w:firstLineChars="200"/>
        <w:jc w:val="left"/>
        <w:rPr>
          <w:rFonts w:hint="eastAsia" w:ascii="方正仿宋_GBK" w:hAnsi="方正仿宋_GBK" w:eastAsia="方正仿宋_GBK" w:cs="方正仿宋_GBK"/>
          <w:b w:val="0"/>
          <w:bCs/>
          <w:sz w:val="32"/>
          <w:szCs w:val="32"/>
          <w:highlight w:val="none"/>
          <w:lang w:val="en-US" w:eastAsia="zh-CN"/>
        </w:rPr>
      </w:pPr>
      <w:r>
        <w:rPr>
          <w:rFonts w:hint="eastAsia" w:ascii="方正仿宋_GBK" w:hAnsi="方正仿宋_GBK" w:eastAsia="方正仿宋_GBK" w:cs="方正仿宋_GBK"/>
          <w:b w:val="0"/>
          <w:bCs/>
          <w:sz w:val="32"/>
          <w:szCs w:val="32"/>
          <w:highlight w:val="none"/>
          <w:lang w:val="en-US" w:eastAsia="zh-CN"/>
        </w:rPr>
        <w:t>无需要说明的其他事项。</w:t>
      </w:r>
    </w:p>
    <w:p>
      <w:pPr>
        <w:keepNext w:val="0"/>
        <w:keepLines w:val="0"/>
        <w:pageBreakBefore w:val="0"/>
        <w:widowControl/>
        <w:numPr>
          <w:ilvl w:val="0"/>
          <w:numId w:val="0"/>
        </w:numPr>
        <w:kinsoku/>
        <w:wordWrap/>
        <w:overflowPunct/>
        <w:topLinePunct w:val="0"/>
        <w:bidi w:val="0"/>
        <w:snapToGrid/>
        <w:spacing w:line="560" w:lineRule="exact"/>
        <w:jc w:val="left"/>
        <w:rPr>
          <w:rFonts w:hint="eastAsia" w:ascii="方正仿宋_GBK" w:hAnsi="方正仿宋_GBK" w:eastAsia="方正仿宋_GBK" w:cs="方正仿宋_GBK"/>
          <w:b w:val="0"/>
          <w:bCs/>
          <w:sz w:val="32"/>
          <w:szCs w:val="32"/>
          <w:highlight w:val="yellow"/>
          <w:lang w:val="en-US" w:eastAsia="zh-CN"/>
        </w:rPr>
      </w:pPr>
    </w:p>
    <w:p>
      <w:pPr>
        <w:keepNext w:val="0"/>
        <w:keepLines w:val="0"/>
        <w:pageBreakBefore w:val="0"/>
        <w:widowControl/>
        <w:kinsoku/>
        <w:wordWrap/>
        <w:overflowPunct/>
        <w:topLinePunct w:val="0"/>
        <w:bidi w:val="0"/>
        <w:snapToGrid/>
        <w:spacing w:line="560" w:lineRule="exact"/>
        <w:jc w:val="left"/>
        <w:rPr>
          <w:rFonts w:hint="eastAsia" w:ascii="方正仿宋_GBK" w:hAnsi="方正仿宋_GBK" w:eastAsia="方正仿宋_GBK" w:cs="方正仿宋_GBK"/>
          <w:sz w:val="32"/>
          <w:szCs w:val="32"/>
          <w:highlight w:val="yellow"/>
        </w:rPr>
      </w:pPr>
    </w:p>
    <w:p>
      <w:pPr>
        <w:keepNext w:val="0"/>
        <w:keepLines w:val="0"/>
        <w:pageBreakBefore w:val="0"/>
        <w:widowControl/>
        <w:kinsoku/>
        <w:wordWrap/>
        <w:overflowPunct/>
        <w:topLinePunct w:val="0"/>
        <w:bidi w:val="0"/>
        <w:snapToGrid/>
        <w:spacing w:line="560" w:lineRule="exact"/>
        <w:ind w:right="1283" w:rightChars="611" w:firstLine="640" w:firstLineChars="200"/>
        <w:jc w:val="left"/>
        <w:rPr>
          <w:rFonts w:hint="eastAsia" w:ascii="方正仿宋_GBK" w:hAnsi="方正仿宋_GBK" w:eastAsia="方正仿宋_GBK" w:cs="方正仿宋_GBK"/>
          <w:sz w:val="32"/>
          <w:szCs w:val="32"/>
          <w:highlight w:val="yellow"/>
        </w:rPr>
      </w:pPr>
    </w:p>
    <w:p>
      <w:pPr>
        <w:keepNext w:val="0"/>
        <w:keepLines w:val="0"/>
        <w:pageBreakBefore w:val="0"/>
        <w:widowControl/>
        <w:kinsoku/>
        <w:wordWrap/>
        <w:overflowPunct/>
        <w:topLinePunct w:val="0"/>
        <w:bidi w:val="0"/>
        <w:snapToGrid/>
        <w:spacing w:line="560" w:lineRule="exact"/>
        <w:ind w:right="1283" w:rightChars="611" w:firstLine="640" w:firstLineChars="200"/>
        <w:jc w:val="right"/>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rPr>
        <w:t>南安市交通运输局</w:t>
      </w:r>
    </w:p>
    <w:p>
      <w:pPr>
        <w:keepNext w:val="0"/>
        <w:keepLines w:val="0"/>
        <w:pageBreakBefore w:val="0"/>
        <w:kinsoku/>
        <w:wordWrap/>
        <w:overflowPunct/>
        <w:topLinePunct w:val="0"/>
        <w:bidi w:val="0"/>
        <w:snapToGrid/>
        <w:spacing w:line="560" w:lineRule="exact"/>
        <w:ind w:right="1283" w:rightChars="611" w:firstLine="640" w:firstLineChars="200"/>
        <w:jc w:val="right"/>
        <w:rPr>
          <w:rFonts w:hint="eastAsia"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highlight w:val="none"/>
        </w:rPr>
        <w:t>20</w:t>
      </w:r>
      <w:r>
        <w:rPr>
          <w:rFonts w:hint="eastAsia" w:ascii="方正仿宋_GBK" w:hAnsi="方正仿宋_GBK" w:eastAsia="方正仿宋_GBK" w:cs="方正仿宋_GBK"/>
          <w:sz w:val="32"/>
          <w:szCs w:val="32"/>
          <w:highlight w:val="none"/>
          <w:lang w:val="en-US" w:eastAsia="zh-CN"/>
        </w:rPr>
        <w:t>21</w:t>
      </w:r>
      <w:r>
        <w:rPr>
          <w:rFonts w:hint="eastAsia" w:ascii="方正仿宋_GBK" w:hAnsi="方正仿宋_GBK" w:eastAsia="方正仿宋_GBK" w:cs="方正仿宋_GBK"/>
          <w:sz w:val="32"/>
          <w:szCs w:val="32"/>
          <w:highlight w:val="none"/>
        </w:rPr>
        <w:t>年1月</w:t>
      </w:r>
      <w:r>
        <w:rPr>
          <w:rFonts w:hint="eastAsia" w:ascii="方正仿宋_GBK" w:hAnsi="方正仿宋_GBK" w:eastAsia="方正仿宋_GBK" w:cs="方正仿宋_GBK"/>
          <w:sz w:val="32"/>
          <w:szCs w:val="32"/>
          <w:highlight w:val="none"/>
          <w:lang w:val="en-US" w:eastAsia="zh-CN"/>
        </w:rPr>
        <w:t>5</w:t>
      </w:r>
      <w:r>
        <w:rPr>
          <w:rFonts w:hint="eastAsia" w:ascii="方正仿宋_GBK" w:hAnsi="方正仿宋_GBK" w:eastAsia="方正仿宋_GBK" w:cs="方正仿宋_GBK"/>
          <w:sz w:val="32"/>
          <w:szCs w:val="32"/>
          <w:highlight w:val="none"/>
        </w:rPr>
        <w:t>日</w:t>
      </w:r>
    </w:p>
    <w:p>
      <w:pPr>
        <w:keepNext w:val="0"/>
        <w:keepLines w:val="0"/>
        <w:pageBreakBefore w:val="0"/>
        <w:widowControl/>
        <w:kinsoku/>
        <w:wordWrap/>
        <w:overflowPunct/>
        <w:topLinePunct w:val="0"/>
        <w:bidi w:val="0"/>
        <w:snapToGrid/>
        <w:spacing w:line="560" w:lineRule="exact"/>
        <w:rPr>
          <w:rFonts w:hint="eastAsia" w:ascii="方正仿宋_GBK" w:hAnsi="方正仿宋_GBK" w:eastAsia="方正仿宋_GBK" w:cs="方正仿宋_GBK"/>
          <w:b w:val="0"/>
          <w:bCs/>
          <w:color w:val="2E2E2E"/>
          <w:sz w:val="32"/>
          <w:szCs w:val="32"/>
          <w:highlight w:val="none"/>
          <w:lang w:val="en-US" w:eastAsia="zh-CN"/>
        </w:rPr>
      </w:pPr>
      <w:r>
        <w:rPr>
          <w:rFonts w:hint="eastAsia" w:ascii="方正仿宋_GBK" w:hAnsi="方正仿宋_GBK" w:eastAsia="方正仿宋_GBK" w:cs="方正仿宋_GBK"/>
          <w:b/>
          <w:color w:val="2E2E2E"/>
          <w:sz w:val="32"/>
          <w:szCs w:val="32"/>
          <w:highlight w:val="none"/>
          <w:lang w:val="en-US" w:eastAsia="zh-CN"/>
        </w:rPr>
        <w:t xml:space="preserve">   </w:t>
      </w:r>
      <w:r>
        <w:rPr>
          <w:rFonts w:hint="eastAsia" w:ascii="方正仿宋_GBK" w:hAnsi="方正仿宋_GBK" w:eastAsia="方正仿宋_GBK" w:cs="方正仿宋_GBK"/>
          <w:b w:val="0"/>
          <w:bCs/>
          <w:color w:val="2E2E2E"/>
          <w:sz w:val="32"/>
          <w:szCs w:val="32"/>
          <w:highlight w:val="none"/>
          <w:lang w:val="en-US" w:eastAsia="zh-CN"/>
        </w:rPr>
        <w:t xml:space="preserve"> （此件主动公开）</w:t>
      </w:r>
    </w:p>
    <w:p>
      <w:pPr>
        <w:keepNext w:val="0"/>
        <w:keepLines w:val="0"/>
        <w:pageBreakBefore w:val="0"/>
        <w:widowControl/>
        <w:kinsoku/>
        <w:wordWrap/>
        <w:overflowPunct/>
        <w:topLinePunct w:val="0"/>
        <w:bidi w:val="0"/>
        <w:snapToGrid/>
        <w:spacing w:line="560" w:lineRule="exact"/>
        <w:rPr>
          <w:rFonts w:hint="eastAsia" w:ascii="方正仿宋_GBK" w:hAnsi="方正仿宋_GBK" w:eastAsia="方正仿宋_GBK" w:cs="方正仿宋_GBK"/>
          <w:b w:val="0"/>
          <w:bCs/>
          <w:color w:val="2E2E2E"/>
          <w:sz w:val="32"/>
          <w:szCs w:val="32"/>
          <w:highlight w:val="yellow"/>
        </w:rPr>
      </w:pPr>
    </w:p>
    <w:p>
      <w:pPr>
        <w:keepNext w:val="0"/>
        <w:keepLines w:val="0"/>
        <w:pageBreakBefore w:val="0"/>
        <w:widowControl/>
        <w:kinsoku/>
        <w:wordWrap/>
        <w:overflowPunct/>
        <w:topLinePunct w:val="0"/>
        <w:bidi w:val="0"/>
        <w:snapToGrid/>
        <w:spacing w:line="560" w:lineRule="exact"/>
        <w:rPr>
          <w:rFonts w:hint="eastAsia" w:ascii="宋体" w:hAnsi="宋体" w:eastAsia="宋体" w:cs="宋体"/>
          <w:b w:val="0"/>
          <w:bCs/>
          <w:color w:val="2E2E2E"/>
          <w:sz w:val="32"/>
          <w:szCs w:val="32"/>
          <w:highlight w:val="yellow"/>
        </w:rPr>
      </w:pPr>
    </w:p>
    <w:p>
      <w:pPr>
        <w:keepNext w:val="0"/>
        <w:keepLines w:val="0"/>
        <w:pageBreakBefore w:val="0"/>
        <w:kinsoku/>
        <w:wordWrap/>
        <w:overflowPunct/>
        <w:topLinePunct w:val="0"/>
        <w:bidi w:val="0"/>
        <w:snapToGrid/>
        <w:spacing w:line="560" w:lineRule="exact"/>
        <w:ind w:firstLine="720" w:firstLineChars="225"/>
        <w:rPr>
          <w:rFonts w:hint="eastAsia" w:ascii="宋体" w:hAnsi="宋体" w:eastAsia="宋体" w:cs="宋体"/>
          <w:sz w:val="32"/>
          <w:szCs w:val="32"/>
          <w:highlight w:val="yellow"/>
        </w:rPr>
      </w:pPr>
    </w:p>
    <w:tbl>
      <w:tblPr>
        <w:tblStyle w:val="6"/>
        <w:tblpPr w:leftFromText="180" w:rightFromText="180" w:vertAnchor="text" w:horzAnchor="page" w:tblpX="1772" w:tblpY="4679"/>
        <w:tblOverlap w:val="never"/>
        <w:tblW w:w="87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8745" w:type="dxa"/>
            <w:tcBorders>
              <w:left w:val="nil"/>
              <w:right w:val="nil"/>
            </w:tcBorders>
            <w:noWrap w:val="0"/>
            <w:vAlign w:val="top"/>
          </w:tcPr>
          <w:p>
            <w:pPr>
              <w:keepNext w:val="0"/>
              <w:keepLines w:val="0"/>
              <w:pageBreakBefore w:val="0"/>
              <w:kinsoku/>
              <w:wordWrap/>
              <w:overflowPunct/>
              <w:topLinePunct w:val="0"/>
              <w:autoSpaceDE/>
              <w:autoSpaceDN/>
              <w:bidi w:val="0"/>
              <w:adjustRightInd/>
              <w:snapToGrid/>
              <w:spacing w:line="560" w:lineRule="exact"/>
              <w:ind w:right="329" w:rightChars="0"/>
              <w:jc w:val="left"/>
              <w:outlineLvl w:val="9"/>
              <w:rPr>
                <w:rFonts w:hint="eastAsia" w:ascii="Times New Roman" w:hAnsi="Times New Roman" w:eastAsia="仿宋_GB2312"/>
                <w:color w:val="auto"/>
                <w:sz w:val="28"/>
                <w:szCs w:val="28"/>
                <w:vertAlign w:val="baseline"/>
                <w:lang w:val="en-US" w:eastAsia="zh-CN"/>
              </w:rPr>
            </w:pPr>
            <w:r>
              <w:rPr>
                <w:rFonts w:hint="eastAsia" w:ascii="Times New Roman" w:hAnsi="Times New Roman" w:eastAsia="仿宋_GB2312"/>
                <w:color w:val="auto"/>
                <w:sz w:val="28"/>
                <w:szCs w:val="28"/>
                <w:vertAlign w:val="baseline"/>
                <w:lang w:val="en-US" w:eastAsia="zh-CN"/>
              </w:rPr>
              <w:t xml:space="preserve"> 南安市交通运输局办公室                 2021年1月5日印发</w:t>
            </w:r>
          </w:p>
        </w:tc>
      </w:tr>
    </w:tbl>
    <w:p>
      <w:pPr>
        <w:keepNext w:val="0"/>
        <w:keepLines w:val="0"/>
        <w:pageBreakBefore w:val="0"/>
        <w:kinsoku/>
        <w:wordWrap/>
        <w:overflowPunct/>
        <w:topLinePunct w:val="0"/>
        <w:bidi w:val="0"/>
        <w:snapToGrid/>
        <w:spacing w:line="560" w:lineRule="exact"/>
        <w:ind w:firstLine="720" w:firstLineChars="225"/>
        <w:rPr>
          <w:rFonts w:hint="eastAsia" w:ascii="宋体" w:hAnsi="宋体" w:eastAsia="宋体" w:cs="宋体"/>
          <w:sz w:val="32"/>
          <w:szCs w:val="32"/>
          <w:highlight w:val="yellow"/>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04DD"/>
    <w:rsid w:val="00226343"/>
    <w:rsid w:val="00580DFD"/>
    <w:rsid w:val="00B21504"/>
    <w:rsid w:val="00D074F1"/>
    <w:rsid w:val="00DD3988"/>
    <w:rsid w:val="00EA7D90"/>
    <w:rsid w:val="00F504DD"/>
    <w:rsid w:val="00FE760A"/>
    <w:rsid w:val="01312B9D"/>
    <w:rsid w:val="03EB3328"/>
    <w:rsid w:val="03F82ECE"/>
    <w:rsid w:val="04F66EE8"/>
    <w:rsid w:val="06201CC1"/>
    <w:rsid w:val="06374838"/>
    <w:rsid w:val="08015527"/>
    <w:rsid w:val="08752F28"/>
    <w:rsid w:val="09065BF5"/>
    <w:rsid w:val="099878B9"/>
    <w:rsid w:val="09F95357"/>
    <w:rsid w:val="0A1F52A9"/>
    <w:rsid w:val="0B4D43D6"/>
    <w:rsid w:val="0BD51379"/>
    <w:rsid w:val="0DF50351"/>
    <w:rsid w:val="0DFF06CE"/>
    <w:rsid w:val="0E011186"/>
    <w:rsid w:val="0E1951A1"/>
    <w:rsid w:val="0E1F6437"/>
    <w:rsid w:val="0E903C7D"/>
    <w:rsid w:val="0F940DCD"/>
    <w:rsid w:val="107B4B26"/>
    <w:rsid w:val="11333AAE"/>
    <w:rsid w:val="11415BBA"/>
    <w:rsid w:val="11A813F6"/>
    <w:rsid w:val="11CC4F1F"/>
    <w:rsid w:val="120F0D0E"/>
    <w:rsid w:val="12C823DF"/>
    <w:rsid w:val="13876986"/>
    <w:rsid w:val="152E2040"/>
    <w:rsid w:val="15F16B3F"/>
    <w:rsid w:val="16081B42"/>
    <w:rsid w:val="17CC12F1"/>
    <w:rsid w:val="187C5736"/>
    <w:rsid w:val="19E94A1D"/>
    <w:rsid w:val="1A704DB9"/>
    <w:rsid w:val="1B0D5B66"/>
    <w:rsid w:val="1BB75DB8"/>
    <w:rsid w:val="1C7439F9"/>
    <w:rsid w:val="1E4412D1"/>
    <w:rsid w:val="1E52210E"/>
    <w:rsid w:val="1E923B04"/>
    <w:rsid w:val="1EA90F14"/>
    <w:rsid w:val="1F317D57"/>
    <w:rsid w:val="207C3EE0"/>
    <w:rsid w:val="20B226F3"/>
    <w:rsid w:val="214F03BB"/>
    <w:rsid w:val="22190A02"/>
    <w:rsid w:val="23FF676D"/>
    <w:rsid w:val="24257E3C"/>
    <w:rsid w:val="2436709B"/>
    <w:rsid w:val="265562DD"/>
    <w:rsid w:val="27303CF5"/>
    <w:rsid w:val="27E43797"/>
    <w:rsid w:val="28F07DDC"/>
    <w:rsid w:val="295B430E"/>
    <w:rsid w:val="2AF0385D"/>
    <w:rsid w:val="2BB93C01"/>
    <w:rsid w:val="2C391593"/>
    <w:rsid w:val="2CFE05CE"/>
    <w:rsid w:val="2DE22FCA"/>
    <w:rsid w:val="302E408F"/>
    <w:rsid w:val="311E35F7"/>
    <w:rsid w:val="319E4DCD"/>
    <w:rsid w:val="321B46AE"/>
    <w:rsid w:val="325364F4"/>
    <w:rsid w:val="331C6D2E"/>
    <w:rsid w:val="34C92CF5"/>
    <w:rsid w:val="35114908"/>
    <w:rsid w:val="39CF5808"/>
    <w:rsid w:val="39E9575A"/>
    <w:rsid w:val="39F55F67"/>
    <w:rsid w:val="3AC93A8E"/>
    <w:rsid w:val="3B2F10D5"/>
    <w:rsid w:val="3CB17E87"/>
    <w:rsid w:val="3CC53C91"/>
    <w:rsid w:val="3F793DCF"/>
    <w:rsid w:val="3F9518A8"/>
    <w:rsid w:val="400019AE"/>
    <w:rsid w:val="403C183D"/>
    <w:rsid w:val="40912A74"/>
    <w:rsid w:val="41202420"/>
    <w:rsid w:val="41DE7D7B"/>
    <w:rsid w:val="41E85FD9"/>
    <w:rsid w:val="43AA155C"/>
    <w:rsid w:val="43FF4236"/>
    <w:rsid w:val="4459476D"/>
    <w:rsid w:val="455245A0"/>
    <w:rsid w:val="4629258A"/>
    <w:rsid w:val="47796E92"/>
    <w:rsid w:val="4913725C"/>
    <w:rsid w:val="4974073E"/>
    <w:rsid w:val="4A382037"/>
    <w:rsid w:val="4A426F31"/>
    <w:rsid w:val="4A952062"/>
    <w:rsid w:val="4ACE3143"/>
    <w:rsid w:val="4B7C79DE"/>
    <w:rsid w:val="4BEE7FFE"/>
    <w:rsid w:val="4DC81BF5"/>
    <w:rsid w:val="4DD24E03"/>
    <w:rsid w:val="4F8C4042"/>
    <w:rsid w:val="504C7657"/>
    <w:rsid w:val="51696FD9"/>
    <w:rsid w:val="51F512B7"/>
    <w:rsid w:val="53C87C33"/>
    <w:rsid w:val="54032A0E"/>
    <w:rsid w:val="54CB7068"/>
    <w:rsid w:val="57BF6349"/>
    <w:rsid w:val="59444261"/>
    <w:rsid w:val="5992239D"/>
    <w:rsid w:val="5B3F2AA9"/>
    <w:rsid w:val="5D605FFE"/>
    <w:rsid w:val="5EF67770"/>
    <w:rsid w:val="5F057E2F"/>
    <w:rsid w:val="60570E79"/>
    <w:rsid w:val="60DB6381"/>
    <w:rsid w:val="60E3339A"/>
    <w:rsid w:val="62F60C07"/>
    <w:rsid w:val="63396FA4"/>
    <w:rsid w:val="636410CD"/>
    <w:rsid w:val="65A367EA"/>
    <w:rsid w:val="65E3093D"/>
    <w:rsid w:val="66BA7D2B"/>
    <w:rsid w:val="67342332"/>
    <w:rsid w:val="676A7618"/>
    <w:rsid w:val="67FA69BE"/>
    <w:rsid w:val="68200D7E"/>
    <w:rsid w:val="69C62AA6"/>
    <w:rsid w:val="6A6665C5"/>
    <w:rsid w:val="6B07306F"/>
    <w:rsid w:val="6D9E2272"/>
    <w:rsid w:val="6E2E70A0"/>
    <w:rsid w:val="6F9F4AFB"/>
    <w:rsid w:val="70430B83"/>
    <w:rsid w:val="71616117"/>
    <w:rsid w:val="72890A9D"/>
    <w:rsid w:val="73B36331"/>
    <w:rsid w:val="74DF157E"/>
    <w:rsid w:val="761F2540"/>
    <w:rsid w:val="774F2821"/>
    <w:rsid w:val="77D54E1A"/>
    <w:rsid w:val="79BB49F8"/>
    <w:rsid w:val="7A407FC1"/>
    <w:rsid w:val="7A8E3C63"/>
    <w:rsid w:val="7A8E782A"/>
    <w:rsid w:val="7A9766DF"/>
    <w:rsid w:val="7AEC43FA"/>
    <w:rsid w:val="7CFE26AB"/>
    <w:rsid w:val="7D285B1C"/>
    <w:rsid w:val="7D342BBA"/>
    <w:rsid w:val="7E3873D0"/>
    <w:rsid w:val="7EE65066"/>
    <w:rsid w:val="7F0C4AD0"/>
    <w:rsid w:val="7F5901A5"/>
    <w:rsid w:val="7FF66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FollowedHyperlink"/>
    <w:basedOn w:val="7"/>
    <w:semiHidden/>
    <w:unhideWhenUsed/>
    <w:qFormat/>
    <w:uiPriority w:val="99"/>
    <w:rPr>
      <w:color w:val="555555"/>
      <w:u w:val="none"/>
    </w:rPr>
  </w:style>
  <w:style w:type="character" w:styleId="10">
    <w:name w:val="Hyperlink"/>
    <w:basedOn w:val="7"/>
    <w:qFormat/>
    <w:uiPriority w:val="0"/>
    <w:rPr>
      <w:color w:val="333333"/>
      <w:sz w:val="24"/>
      <w:szCs w:val="24"/>
      <w:u w:val="none"/>
    </w:rPr>
  </w:style>
  <w:style w:type="character" w:customStyle="1" w:styleId="11">
    <w:name w:val="页眉 Char"/>
    <w:basedOn w:val="7"/>
    <w:link w:val="3"/>
    <w:semiHidden/>
    <w:qFormat/>
    <w:uiPriority w:val="99"/>
    <w:rPr>
      <w:sz w:val="18"/>
      <w:szCs w:val="18"/>
    </w:rPr>
  </w:style>
  <w:style w:type="character" w:customStyle="1" w:styleId="12">
    <w:name w:val="页脚 Char"/>
    <w:basedOn w:val="7"/>
    <w:link w:val="2"/>
    <w:semiHidden/>
    <w:qFormat/>
    <w:uiPriority w:val="99"/>
    <w:rPr>
      <w:sz w:val="18"/>
      <w:szCs w:val="18"/>
    </w:rPr>
  </w:style>
  <w:style w:type="character" w:customStyle="1" w:styleId="13">
    <w:name w:val="treetitle"/>
    <w:basedOn w:val="7"/>
    <w:qFormat/>
    <w:uiPriority w:val="0"/>
    <w:rPr>
      <w:rFonts w:hint="default" w:ascii="Arial" w:hAnsi="Arial" w:cs="Arial"/>
    </w:rPr>
  </w:style>
  <w:style w:type="character" w:customStyle="1" w:styleId="14">
    <w:name w:val="disab"/>
    <w:basedOn w:val="7"/>
    <w:qFormat/>
    <w:uiPriority w:val="0"/>
    <w:rPr>
      <w:bdr w:val="single" w:color="E4E4E4" w:sz="4" w:space="0"/>
      <w:shd w:val="clear" w:fill="CCCCCC"/>
    </w:rPr>
  </w:style>
  <w:style w:type="character" w:customStyle="1" w:styleId="15">
    <w:name w:val="icon2"/>
    <w:basedOn w:val="7"/>
    <w:qFormat/>
    <w:uiPriority w:val="0"/>
  </w:style>
  <w:style w:type="character" w:customStyle="1" w:styleId="16">
    <w:name w:val="icon21"/>
    <w:basedOn w:val="7"/>
    <w:qFormat/>
    <w:uiPriority w:val="0"/>
  </w:style>
  <w:style w:type="character" w:customStyle="1" w:styleId="17">
    <w:name w:val="icon22"/>
    <w:basedOn w:val="7"/>
    <w:qFormat/>
    <w:uiPriority w:val="0"/>
  </w:style>
  <w:style w:type="character" w:customStyle="1" w:styleId="18">
    <w:name w:val="icon3"/>
    <w:basedOn w:val="7"/>
    <w:qFormat/>
    <w:uiPriority w:val="0"/>
  </w:style>
  <w:style w:type="character" w:customStyle="1" w:styleId="19">
    <w:name w:val="icon31"/>
    <w:basedOn w:val="7"/>
    <w:qFormat/>
    <w:uiPriority w:val="0"/>
  </w:style>
  <w:style w:type="character" w:customStyle="1" w:styleId="20">
    <w:name w:val="icon32"/>
    <w:basedOn w:val="7"/>
    <w:qFormat/>
    <w:uiPriority w:val="0"/>
  </w:style>
  <w:style w:type="character" w:customStyle="1" w:styleId="21">
    <w:name w:val="icon"/>
    <w:basedOn w:val="7"/>
    <w:qFormat/>
    <w:uiPriority w:val="0"/>
  </w:style>
  <w:style w:type="character" w:customStyle="1" w:styleId="22">
    <w:name w:val="icon1"/>
    <w:basedOn w:val="7"/>
    <w:qFormat/>
    <w:uiPriority w:val="0"/>
  </w:style>
  <w:style w:type="character" w:customStyle="1" w:styleId="23">
    <w:name w:val="icon4"/>
    <w:basedOn w:val="7"/>
    <w:qFormat/>
    <w:uiPriority w:val="0"/>
  </w:style>
  <w:style w:type="character" w:customStyle="1" w:styleId="24">
    <w:name w:val="icon11"/>
    <w:basedOn w:val="7"/>
    <w:qFormat/>
    <w:uiPriority w:val="0"/>
  </w:style>
  <w:style w:type="character" w:customStyle="1" w:styleId="25">
    <w:name w:val="icon12"/>
    <w:basedOn w:val="7"/>
    <w:qFormat/>
    <w:uiPriority w:val="0"/>
  </w:style>
  <w:style w:type="character" w:customStyle="1" w:styleId="26">
    <w:name w:val="icon13"/>
    <w:basedOn w:val="7"/>
    <w:qFormat/>
    <w:uiPriority w:val="0"/>
  </w:style>
  <w:style w:type="character" w:customStyle="1" w:styleId="27">
    <w:name w:val="icon41"/>
    <w:basedOn w:val="7"/>
    <w:qFormat/>
    <w:uiPriority w:val="0"/>
  </w:style>
  <w:style w:type="character" w:customStyle="1" w:styleId="28">
    <w:name w:val="icon42"/>
    <w:basedOn w:val="7"/>
    <w:qFormat/>
    <w:uiPriority w:val="0"/>
  </w:style>
  <w:style w:type="character" w:customStyle="1" w:styleId="29">
    <w:name w:val="icon43"/>
    <w:basedOn w:val="7"/>
    <w:qFormat/>
    <w:uiPriority w:val="0"/>
  </w:style>
  <w:style w:type="character" w:customStyle="1" w:styleId="30">
    <w:name w:val="current"/>
    <w:basedOn w:val="7"/>
    <w:qFormat/>
    <w:uiPriority w:val="0"/>
    <w:rPr>
      <w:color w:val="FFFFFF"/>
      <w:u w:val="none"/>
      <w:bdr w:val="single" w:color="E00203" w:sz="4" w:space="0"/>
      <w:shd w:val="clear" w:fill="E00203"/>
    </w:rPr>
  </w:style>
  <w:style w:type="character" w:customStyle="1" w:styleId="31">
    <w:name w:val="disabled"/>
    <w:basedOn w:val="7"/>
    <w:qFormat/>
    <w:uiPriority w:val="0"/>
    <w:rPr>
      <w:bdr w:val="single" w:color="E4E4E4" w:sz="4" w:space="0"/>
      <w:shd w:val="clear" w:fill="CCCCCC"/>
    </w:rPr>
  </w:style>
  <w:style w:type="character" w:customStyle="1" w:styleId="32">
    <w:name w:val="go"/>
    <w:basedOn w:val="7"/>
    <w:qFormat/>
    <w:uiPriority w:val="0"/>
    <w:rPr>
      <w:shd w:val="clear" w:fill="E2E2E2"/>
    </w:rPr>
  </w:style>
  <w:style w:type="character" w:customStyle="1" w:styleId="33">
    <w:name w:val="hover15"/>
    <w:basedOn w:val="7"/>
    <w:qFormat/>
    <w:uiPriority w:val="0"/>
    <w:rPr>
      <w:sz w:val="16"/>
      <w:szCs w:val="16"/>
    </w:rPr>
  </w:style>
  <w:style w:type="character" w:customStyle="1" w:styleId="34">
    <w:name w:val="hover16"/>
    <w:basedOn w:val="7"/>
    <w:qFormat/>
    <w:uiPriority w:val="0"/>
    <w:rPr>
      <w:color w:val="000000"/>
    </w:rPr>
  </w:style>
  <w:style w:type="character" w:customStyle="1" w:styleId="35">
    <w:name w:val="icon33"/>
    <w:basedOn w:val="7"/>
    <w:qFormat/>
    <w:uiPriority w:val="0"/>
  </w:style>
  <w:style w:type="character" w:customStyle="1" w:styleId="36">
    <w:name w:val="hover17"/>
    <w:basedOn w:val="7"/>
    <w:qFormat/>
    <w:uiPriority w:val="0"/>
    <w:rPr>
      <w:sz w:val="16"/>
      <w:szCs w:val="16"/>
    </w:rPr>
  </w:style>
  <w:style w:type="character" w:customStyle="1" w:styleId="37">
    <w:name w:val="icon23"/>
    <w:basedOn w:val="7"/>
    <w:qFormat/>
    <w:uiPriority w:val="0"/>
  </w:style>
  <w:style w:type="character" w:customStyle="1" w:styleId="38">
    <w:name w:val="icon5"/>
    <w:basedOn w:val="7"/>
    <w:qFormat/>
    <w:uiPriority w:val="0"/>
  </w:style>
  <w:style w:type="character" w:customStyle="1" w:styleId="39">
    <w:name w:val="icon6"/>
    <w:basedOn w:val="7"/>
    <w:qFormat/>
    <w:uiPriority w:val="0"/>
  </w:style>
  <w:style w:type="character" w:customStyle="1" w:styleId="40">
    <w:name w:val="hover10"/>
    <w:basedOn w:val="7"/>
    <w:qFormat/>
    <w:uiPriority w:val="0"/>
    <w:rPr>
      <w:color w:val="000000"/>
    </w:rPr>
  </w:style>
  <w:style w:type="character" w:customStyle="1" w:styleId="41">
    <w:name w:val="hover11"/>
    <w:basedOn w:val="7"/>
    <w:qFormat/>
    <w:uiPriority w:val="0"/>
    <w:rPr>
      <w:sz w:val="16"/>
      <w:szCs w:val="16"/>
    </w:rPr>
  </w:style>
  <w:style w:type="character" w:customStyle="1" w:styleId="42">
    <w:name w:val="on"/>
    <w:basedOn w:val="7"/>
    <w:qFormat/>
    <w:uiPriority w:val="0"/>
    <w:rPr>
      <w:b/>
      <w:color w:val="076FF4"/>
      <w:shd w:val="clear" w:fill="F2F2F2"/>
    </w:rPr>
  </w:style>
  <w:style w:type="character" w:customStyle="1" w:styleId="43">
    <w:name w:val="prevstop1"/>
    <w:basedOn w:val="7"/>
    <w:qFormat/>
    <w:uiPriority w:val="0"/>
    <w:rPr>
      <w:color w:val="ACACAC"/>
      <w:shd w:val="clear" w:fill="F2F2F2"/>
    </w:rPr>
  </w:style>
  <w:style w:type="character" w:customStyle="1" w:styleId="44">
    <w:name w:val="sl"/>
    <w:basedOn w:val="7"/>
    <w:qFormat/>
    <w:uiPriority w:val="0"/>
    <w:rPr>
      <w:sz w:val="16"/>
      <w:szCs w:val="16"/>
    </w:rPr>
  </w:style>
  <w:style w:type="character" w:customStyle="1" w:styleId="45">
    <w:name w:val="hover8"/>
    <w:basedOn w:val="7"/>
    <w:qFormat/>
    <w:uiPriority w:val="0"/>
    <w:rPr>
      <w:color w:val="076FF4"/>
      <w:bdr w:val="single" w:color="076FF4" w:sz="4" w:space="0"/>
    </w:rPr>
  </w:style>
  <w:style w:type="character" w:customStyle="1" w:styleId="46">
    <w:name w:val="icon7"/>
    <w:basedOn w:val="7"/>
    <w:qFormat/>
    <w:uiPriority w:val="0"/>
  </w:style>
  <w:style w:type="character" w:customStyle="1" w:styleId="47">
    <w:name w:val="icon8"/>
    <w:basedOn w:val="7"/>
    <w:qFormat/>
    <w:uiPriority w:val="0"/>
  </w:style>
  <w:style w:type="character" w:customStyle="1" w:styleId="48">
    <w:name w:val="nextstop1"/>
    <w:basedOn w:val="7"/>
    <w:qFormat/>
    <w:uiPriority w:val="0"/>
    <w:rPr>
      <w:color w:val="ACACAC"/>
      <w:shd w:val="clear" w:fill="F2F2F2"/>
    </w:rPr>
  </w:style>
  <w:style w:type="character" w:customStyle="1" w:styleId="49">
    <w:name w:val="line2"/>
    <w:basedOn w:val="7"/>
    <w:qFormat/>
    <w:uiPriority w:val="0"/>
  </w:style>
  <w:style w:type="character" w:customStyle="1" w:styleId="50">
    <w:name w:val="line3"/>
    <w:basedOn w:val="7"/>
    <w:qFormat/>
    <w:uiPriority w:val="0"/>
  </w:style>
  <w:style w:type="character" w:customStyle="1" w:styleId="51">
    <w:name w:val="fy_go2"/>
    <w:basedOn w:val="7"/>
    <w:qFormat/>
    <w:uiPriority w:val="0"/>
    <w:rPr>
      <w:color w:val="FFFFFF"/>
      <w:sz w:val="16"/>
      <w:szCs w:val="16"/>
      <w:shd w:val="clear" w:fill="076FF4"/>
    </w:rPr>
  </w:style>
  <w:style w:type="character" w:customStyle="1" w:styleId="52">
    <w:name w:val="prevstop"/>
    <w:basedOn w:val="7"/>
    <w:qFormat/>
    <w:uiPriority w:val="0"/>
    <w:rPr>
      <w:color w:val="ACACAC"/>
      <w:shd w:val="clear" w:fill="F2F2F2"/>
    </w:rPr>
  </w:style>
  <w:style w:type="character" w:customStyle="1" w:styleId="53">
    <w:name w:val="on1"/>
    <w:basedOn w:val="7"/>
    <w:qFormat/>
    <w:uiPriority w:val="0"/>
    <w:rPr>
      <w:b/>
      <w:color w:val="076FF4"/>
      <w:shd w:val="clear" w:fill="F2F2F2"/>
    </w:rPr>
  </w:style>
  <w:style w:type="character" w:customStyle="1" w:styleId="54">
    <w:name w:val="on2"/>
    <w:basedOn w:val="7"/>
    <w:qFormat/>
    <w:uiPriority w:val="0"/>
    <w:rPr>
      <w:color w:val="076FF4"/>
      <w:bdr w:val="single" w:color="076FF4" w:sz="4" w:space="0"/>
    </w:rPr>
  </w:style>
  <w:style w:type="character" w:customStyle="1" w:styleId="55">
    <w:name w:val="on3"/>
    <w:basedOn w:val="7"/>
    <w:qFormat/>
    <w:uiPriority w:val="0"/>
    <w:rPr>
      <w:color w:val="076FF4"/>
      <w:bdr w:val="single" w:color="076FF4" w:sz="4" w:space="0"/>
    </w:rPr>
  </w:style>
  <w:style w:type="character" w:customStyle="1" w:styleId="56">
    <w:name w:val="on4"/>
    <w:basedOn w:val="7"/>
    <w:qFormat/>
    <w:uiPriority w:val="0"/>
    <w:rPr>
      <w:b/>
      <w:color w:val="076FF4"/>
      <w:shd w:val="clear" w:fill="F2F2F2"/>
    </w:rPr>
  </w:style>
  <w:style w:type="character" w:customStyle="1" w:styleId="57">
    <w:name w:val="nextstop"/>
    <w:basedOn w:val="7"/>
    <w:qFormat/>
    <w:uiPriority w:val="0"/>
    <w:rPr>
      <w:color w:val="ACACAC"/>
      <w:shd w:val="clear" w:fill="F2F2F2"/>
    </w:rPr>
  </w:style>
  <w:style w:type="character" w:customStyle="1" w:styleId="58">
    <w:name w:val="line"/>
    <w:basedOn w:val="7"/>
    <w:qFormat/>
    <w:uiPriority w:val="0"/>
  </w:style>
  <w:style w:type="character" w:customStyle="1" w:styleId="59">
    <w:name w:val="line1"/>
    <w:basedOn w:val="7"/>
    <w:qFormat/>
    <w:uiPriority w:val="0"/>
  </w:style>
  <w:style w:type="character" w:customStyle="1" w:styleId="60">
    <w:name w:val="hover7"/>
    <w:basedOn w:val="7"/>
    <w:qFormat/>
    <w:uiPriority w:val="0"/>
    <w:rPr>
      <w:color w:val="076FF4"/>
      <w:bdr w:val="single" w:color="076FF4" w:sz="4"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1151</Characters>
  <Lines>9</Lines>
  <Paragraphs>2</Paragraphs>
  <TotalTime>0</TotalTime>
  <ScaleCrop>false</ScaleCrop>
  <LinksUpToDate>false</LinksUpToDate>
  <CharactersWithSpaces>1350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2019-11-28T09:05:00Z</dcterms:created>
  <dc:creator>Windows 用户</dc:creator>
  <cp:lastModifiedBy>Administrator</cp:lastModifiedBy>
  <dcterms:modified xsi:type="dcterms:W3CDTF">2021-02-18T09:14:37Z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