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before="0" w:after="0" w:line="560" w:lineRule="exact"/>
        <w:jc w:val="both"/>
        <w:textAlignment w:val="auto"/>
        <w:rPr>
          <w:rFonts w:ascii="仿宋_GB2312" w:eastAsia="仿宋_GB2312"/>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8</w:t>
      </w:r>
    </w:p>
    <w:p>
      <w:pPr>
        <w:spacing w:afterLines="150"/>
        <w:jc w:val="center"/>
        <w:rPr>
          <w:rFonts w:ascii="方正小标宋简体" w:eastAsia="方正小标宋简体"/>
          <w:sz w:val="44"/>
          <w:szCs w:val="44"/>
        </w:rPr>
      </w:pPr>
      <w:r>
        <w:rPr>
          <w:rFonts w:hint="eastAsia" w:ascii="方正小标宋简体" w:eastAsia="方正小标宋简体"/>
          <w:sz w:val="44"/>
          <w:szCs w:val="44"/>
        </w:rPr>
        <w:t>南安市工信局政府网站信息发布审核制度</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为加强我局政府信息安全管理，促进政府信息发布审核工作的制度化、规范化，保障信息发布的严肃性、及时性、准确性和权威性，依据国家有关法律、法规，结</w:t>
      </w:r>
      <w:bookmarkStart w:id="0" w:name="_GoBack"/>
      <w:bookmarkEnd w:id="0"/>
      <w:r>
        <w:rPr>
          <w:rFonts w:hint="eastAsia" w:ascii="仿宋_GB2312" w:eastAsia="仿宋_GB2312"/>
          <w:sz w:val="32"/>
          <w:szCs w:val="32"/>
        </w:rPr>
        <w:t>合我局实际，特制定本制度。</w:t>
      </w:r>
    </w:p>
    <w:p>
      <w:pPr>
        <w:spacing w:line="520" w:lineRule="exact"/>
        <w:ind w:firstLine="707" w:firstLineChars="221"/>
        <w:rPr>
          <w:rFonts w:ascii="黑体" w:hAnsi="黑体" w:eastAsia="黑体"/>
          <w:sz w:val="32"/>
          <w:szCs w:val="32"/>
        </w:rPr>
      </w:pPr>
      <w:r>
        <w:rPr>
          <w:rFonts w:hint="eastAsia" w:ascii="黑体" w:hAnsi="黑体" w:eastAsia="黑体"/>
          <w:bCs/>
          <w:sz w:val="32"/>
          <w:szCs w:val="32"/>
        </w:rPr>
        <w:t>一、网站信息发布的总体原则和内容</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发布内容遵循的总体原则：能准确、及时地反映本单位各项工作最新动态。</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1、我局制定的政务公开目录规定须对外公布的机构信息、规范性文件和工作文件信息、日常工作动态信息等；</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2、由我局主办或承办的各类活动；</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3、可共享的其他文件信息。</w:t>
      </w:r>
    </w:p>
    <w:p>
      <w:pPr>
        <w:spacing w:line="520" w:lineRule="exact"/>
        <w:ind w:firstLine="707" w:firstLineChars="221"/>
        <w:rPr>
          <w:rFonts w:ascii="黑体" w:hAnsi="黑体" w:eastAsia="黑体"/>
          <w:bCs/>
          <w:sz w:val="32"/>
          <w:szCs w:val="32"/>
        </w:rPr>
      </w:pPr>
      <w:r>
        <w:rPr>
          <w:rFonts w:hint="eastAsia" w:ascii="黑体" w:hAnsi="黑体" w:eastAsia="黑体"/>
          <w:bCs/>
          <w:sz w:val="32"/>
          <w:szCs w:val="32"/>
        </w:rPr>
        <w:t>二、信息审核、发布流程</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机关各科室、直属事业单位在文件办理过程中确定的公开文件，在文件印刷成文后，由办公室专职人员定时领取文件，按照安全保密有关规定，经过审核后方可在政府网站上予以发布。</w:t>
      </w:r>
    </w:p>
    <w:p>
      <w:pPr>
        <w:spacing w:line="520" w:lineRule="exact"/>
        <w:ind w:firstLine="707" w:firstLineChars="221"/>
        <w:rPr>
          <w:rFonts w:ascii="黑体" w:hAnsi="黑体" w:eastAsia="黑体"/>
          <w:bCs/>
          <w:sz w:val="32"/>
          <w:szCs w:val="32"/>
        </w:rPr>
      </w:pPr>
      <w:r>
        <w:rPr>
          <w:rFonts w:hint="eastAsia" w:ascii="黑体" w:hAnsi="黑体" w:eastAsia="黑体"/>
          <w:bCs/>
          <w:sz w:val="32"/>
          <w:szCs w:val="32"/>
        </w:rPr>
        <w:t>三、信息审核、发布时间</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对需要审核的信息，原则上做到两个工作日内进行审核，审核通过后立即上网发布。</w:t>
      </w:r>
    </w:p>
    <w:p>
      <w:pPr>
        <w:spacing w:line="520" w:lineRule="exact"/>
        <w:ind w:firstLine="707" w:firstLineChars="221"/>
        <w:rPr>
          <w:rFonts w:ascii="黑体" w:hAnsi="黑体" w:eastAsia="黑体"/>
          <w:bCs/>
          <w:sz w:val="32"/>
          <w:szCs w:val="32"/>
        </w:rPr>
      </w:pPr>
      <w:r>
        <w:rPr>
          <w:rFonts w:hint="eastAsia" w:ascii="黑体" w:hAnsi="黑体" w:eastAsia="黑体"/>
          <w:bCs/>
          <w:sz w:val="32"/>
          <w:szCs w:val="32"/>
        </w:rPr>
        <w:t>四、信息安全要求</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1、网站信息发布严格遵守“涉密信息不上网，上网信息不涉密”的原则，层层把关，凡未经审核的信息严禁上网发布。</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2、转载其他媒体新闻，应遵守国家和省、市的有关规定。被转载的网站应是国家、省、市的政府网站，以此保证所转载信息的真实性、权威性。</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3、发布信息应依据《中华人民共和国保守国家秘密法》、《互联网信息服务管理办法》和《互联网电子公告服务管理规定》等有关保密的法律、法规，建立健全网站信息安全管理制度，坚决杜绝有害信息的扩散，严禁涉密信息上网，防止泄露国家秘密。发布的信息不得含有下列内容：</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（1）违反宪法所确定的基本原则；</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（2）危害国家安全，泄露国家秘密，煽动颠覆国家政权，破坏国家统一；</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（3）损害国家的荣誉和利益；</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（4）煽动民族仇恨、民族歧视，破坏民族团结；</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（5）破坏国家宗教政策，宣扬邪教，宣扬封建迷信；</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（6）散布谣言，编造和传播假新闻，扰乱社会秩序，破坏社会稳定；</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（7）散布淫秽、色情、赌博、暴力、恐怖或者教唆犯罪；</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（8）侮辱或者诽谤他人，侵害他人合法权益；</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（9）法律、法规禁止的其他内容。</w:t>
      </w:r>
    </w:p>
    <w:p>
      <w:pPr>
        <w:spacing w:line="520" w:lineRule="exact"/>
        <w:ind w:firstLine="707" w:firstLineChars="221"/>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五、本制度自印发之日起实施。</w:t>
      </w:r>
    </w:p>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jc w:val="left"/>
        <w:rPr>
          <w:rFonts w:ascii="仿宋_GB2312" w:eastAsia="仿宋_GB2312"/>
          <w:sz w:val="28"/>
          <w:szCs w:val="28"/>
        </w:rPr>
      </w:pPr>
    </w:p>
    <w:sectPr>
      <w:headerReference r:id="rId3" w:type="default"/>
      <w:footerReference r:id="rId4"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29AB13AD"/>
    <w:rsid w:val="3D1A5FA4"/>
    <w:rsid w:val="408B5DF3"/>
    <w:rsid w:val="4D582DDF"/>
    <w:rsid w:val="59214DAA"/>
    <w:rsid w:val="59E702D9"/>
    <w:rsid w:val="65817F87"/>
    <w:rsid w:val="76A53ABE"/>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133</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2019-06-19T03:52:49Z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