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before="0" w:after="0" w:line="560" w:lineRule="exact"/>
        <w:jc w:val="both"/>
        <w:textAlignment w:val="auto"/>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w:t>
      </w:r>
    </w:p>
    <w:p>
      <w:pPr>
        <w:spacing w:afterLines="150"/>
        <w:jc w:val="center"/>
        <w:rPr>
          <w:rFonts w:ascii="方正小标宋简体" w:eastAsia="方正小标宋简体"/>
          <w:b/>
          <w:bCs/>
          <w:sz w:val="44"/>
          <w:szCs w:val="44"/>
        </w:rPr>
      </w:pPr>
      <w:bookmarkStart w:id="0" w:name="_GoBack"/>
      <w:r>
        <w:rPr>
          <w:rFonts w:hint="eastAsia" w:ascii="方正小标宋简体" w:eastAsia="方正小标宋简体"/>
          <w:b/>
          <w:bCs/>
          <w:sz w:val="44"/>
          <w:szCs w:val="44"/>
        </w:rPr>
        <w:t>南安市工信局主动公开政府信息送交工作制度</w:t>
      </w:r>
      <w:bookmarkEnd w:id="0"/>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 xml:space="preserve">第一条 </w:t>
      </w:r>
      <w:r>
        <w:rPr>
          <w:rFonts w:hint="eastAsia" w:eastAsia="仿宋_GB2312"/>
          <w:sz w:val="32"/>
          <w:szCs w:val="32"/>
        </w:rPr>
        <w:t> </w:t>
      </w:r>
      <w:r>
        <w:rPr>
          <w:rFonts w:hint="eastAsia" w:ascii="仿宋_GB2312" w:eastAsia="仿宋_GB2312"/>
          <w:sz w:val="32"/>
          <w:szCs w:val="32"/>
        </w:rPr>
        <w:t>为了规范政府公开信息送交工作程序，确保政府公开信息及时、完整地送交到政府信息查阅场所，提高政府信息查阅场所公共服务能力，保障公民、法人和其他组织依法获取政府信息的权利，根据《中华人民共和国政府信息公开条例》（以下简称《条例》）等有关规定，结合我局实际，制定本办法。</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 xml:space="preserve">第二条 </w:t>
      </w:r>
      <w:r>
        <w:rPr>
          <w:rFonts w:hint="eastAsia" w:eastAsia="仿宋_GB2312"/>
          <w:sz w:val="32"/>
          <w:szCs w:val="32"/>
        </w:rPr>
        <w:t> </w:t>
      </w:r>
      <w:r>
        <w:rPr>
          <w:rFonts w:hint="eastAsia" w:ascii="仿宋_GB2312" w:eastAsia="仿宋_GB2312"/>
          <w:sz w:val="32"/>
          <w:szCs w:val="32"/>
        </w:rPr>
        <w:t>本办法所称的政府公开信息送交工作，是指政府公开信息送交单位按照《条例》等规定要求，及时、完整地向政府信息查阅场所送交主动公开的政府信息。</w:t>
      </w:r>
    </w:p>
    <w:p>
      <w:pPr>
        <w:spacing w:line="520" w:lineRule="exact"/>
        <w:ind w:firstLine="704" w:firstLineChars="220"/>
        <w:rPr>
          <w:rFonts w:ascii="仿宋_GB2312" w:eastAsia="仿宋_GB2312"/>
          <w:sz w:val="32"/>
          <w:szCs w:val="32"/>
        </w:rPr>
      </w:pPr>
      <w:r>
        <w:rPr>
          <w:rFonts w:hint="eastAsia" w:ascii="仿宋_GB2312" w:eastAsia="仿宋_GB2312"/>
          <w:sz w:val="32"/>
          <w:szCs w:val="32"/>
        </w:rPr>
        <w:t>送交内容包括政府公开信息全文，以及《政府信息公开指南》（以下简称《指南》）、《政府信息公开目录》（以下简称《目录》）、《政府信息公开工作年度报告》（以下简称《年报》）等。</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 xml:space="preserve">第三条 </w:t>
      </w:r>
      <w:r>
        <w:rPr>
          <w:rFonts w:hint="eastAsia" w:eastAsia="仿宋_GB2312"/>
          <w:sz w:val="32"/>
          <w:szCs w:val="32"/>
        </w:rPr>
        <w:t> </w:t>
      </w:r>
      <w:r>
        <w:rPr>
          <w:rFonts w:hint="eastAsia" w:ascii="仿宋_GB2312" w:eastAsia="仿宋_GB2312"/>
          <w:sz w:val="32"/>
          <w:szCs w:val="32"/>
        </w:rPr>
        <w:t>本办法所称的政府公开信息送交单位是指局机关各职能科室、各直属单位。</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第四条</w:t>
      </w:r>
      <w:r>
        <w:rPr>
          <w:rFonts w:hint="eastAsia" w:eastAsia="仿宋_GB2312"/>
          <w:sz w:val="32"/>
          <w:szCs w:val="32"/>
        </w:rPr>
        <w:t xml:space="preserve">  </w:t>
      </w:r>
      <w:r>
        <w:rPr>
          <w:rFonts w:hint="eastAsia" w:ascii="仿宋_GB2312" w:eastAsia="仿宋_GB2312"/>
          <w:sz w:val="32"/>
          <w:szCs w:val="32"/>
        </w:rPr>
        <w:t>本办法所称的政府信息查阅场所是指市人民政府为方便公民、法人或者其他组织获取政府信息，在市档案馆、图书馆设置的查阅场所。</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第五条</w:t>
      </w:r>
      <w:r>
        <w:rPr>
          <w:rFonts w:hint="eastAsia" w:eastAsia="仿宋_GB2312"/>
          <w:sz w:val="32"/>
          <w:szCs w:val="32"/>
        </w:rPr>
        <w:t xml:space="preserve">  </w:t>
      </w:r>
      <w:r>
        <w:rPr>
          <w:rFonts w:hint="eastAsia" w:ascii="仿宋_GB2312" w:eastAsia="仿宋_GB2312"/>
          <w:sz w:val="32"/>
          <w:szCs w:val="32"/>
        </w:rPr>
        <w:t>政府公开信息送交工作应遵循各负其责、及时有效、系统规范的原则。</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第六条</w:t>
      </w:r>
      <w:r>
        <w:rPr>
          <w:rFonts w:hint="eastAsia" w:ascii="仿宋_GB2312" w:eastAsia="仿宋_GB2312"/>
          <w:sz w:val="32"/>
          <w:szCs w:val="32"/>
        </w:rPr>
        <w:t>　本局办公室负责政府公开信息送交工作的监督与管理。</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第七条</w:t>
      </w:r>
      <w:r>
        <w:rPr>
          <w:rFonts w:hint="eastAsia" w:ascii="仿宋_GB2312" w:eastAsia="仿宋_GB2312"/>
          <w:sz w:val="32"/>
          <w:szCs w:val="32"/>
        </w:rPr>
        <w:t>　《指南》、《目录》、《年报》和属于主动公开范围的政府信息，各送交单位应当自该政府信息形成或者变更之日起10个工作日内，向办公室送交纸质文件及电子文本，办公室在10个工作日向市政府信息查阅场所送交纸质文件及电子文本。</w:t>
      </w:r>
    </w:p>
    <w:p>
      <w:pPr>
        <w:spacing w:line="520" w:lineRule="exact"/>
        <w:ind w:firstLine="704" w:firstLineChars="220"/>
        <w:rPr>
          <w:rFonts w:ascii="仿宋_GB2312" w:eastAsia="仿宋_GB2312"/>
          <w:sz w:val="32"/>
          <w:szCs w:val="32"/>
        </w:rPr>
      </w:pPr>
      <w:r>
        <w:rPr>
          <w:rFonts w:hint="eastAsia" w:ascii="仿宋_GB2312" w:eastAsia="仿宋_GB2312"/>
          <w:sz w:val="32"/>
          <w:szCs w:val="32"/>
        </w:rPr>
        <w:t>送交的纸质文本应为原件（一式两份），电子文本应符合有关文件格式。</w:t>
      </w:r>
    </w:p>
    <w:p>
      <w:pPr>
        <w:spacing w:line="520" w:lineRule="exact"/>
        <w:ind w:firstLine="704" w:firstLineChars="220"/>
        <w:rPr>
          <w:rFonts w:ascii="仿宋_GB2312" w:eastAsia="仿宋_GB2312"/>
          <w:sz w:val="32"/>
          <w:szCs w:val="32"/>
        </w:rPr>
      </w:pPr>
      <w:r>
        <w:rPr>
          <w:rFonts w:hint="eastAsia" w:ascii="仿宋_GB2312" w:eastAsia="仿宋_GB2312"/>
          <w:sz w:val="32"/>
          <w:szCs w:val="32"/>
        </w:rPr>
        <w:t>属于主动公开的联合发文的政府信息，由该文件的主办单位负责送交。</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第八条</w:t>
      </w:r>
      <w:r>
        <w:rPr>
          <w:rFonts w:hint="eastAsia" w:eastAsia="仿宋_GB2312"/>
          <w:b/>
          <w:bCs/>
          <w:sz w:val="32"/>
          <w:szCs w:val="32"/>
        </w:rPr>
        <w:t xml:space="preserve">  </w:t>
      </w:r>
      <w:r>
        <w:rPr>
          <w:rFonts w:hint="eastAsia" w:ascii="仿宋_GB2312" w:eastAsia="仿宋_GB2312"/>
          <w:sz w:val="32"/>
          <w:szCs w:val="32"/>
        </w:rPr>
        <w:t>各送交单位对送交的政府公开信息做出修改或者废止时，应及时将修改后的全文和目录或者废止信息的目录送交办公室，办公室送交市政府信息查阅场所。</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 xml:space="preserve">第九条  </w:t>
      </w:r>
      <w:r>
        <w:rPr>
          <w:rFonts w:hint="eastAsia" w:ascii="仿宋_GB2312" w:eastAsia="仿宋_GB2312"/>
          <w:sz w:val="32"/>
          <w:szCs w:val="32"/>
        </w:rPr>
        <w:t>严格办理政府公开信息的交接手续，填写《南安市政府公开信息交接文据》（见附件1）、《政府信息送交目录表》（见附件2），交接双方各执一份。</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第十条</w:t>
      </w:r>
      <w:r>
        <w:rPr>
          <w:rFonts w:hint="eastAsia" w:eastAsia="仿宋_GB2312"/>
          <w:b/>
          <w:bCs/>
          <w:sz w:val="32"/>
          <w:szCs w:val="32"/>
        </w:rPr>
        <w:t xml:space="preserve">  </w:t>
      </w:r>
      <w:r>
        <w:rPr>
          <w:rFonts w:hint="eastAsia" w:ascii="仿宋_GB2312" w:eastAsia="仿宋_GB2312"/>
          <w:sz w:val="32"/>
          <w:szCs w:val="32"/>
        </w:rPr>
        <w:t>各送交单位应将政府公开信息送交工作纳入信息公开的日常工作中，由办公室和信息送交负责人负责办理向市政府信息查阅场所送交政府公开信息的具体事宜。</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第十一条</w:t>
      </w:r>
      <w:r>
        <w:rPr>
          <w:rFonts w:hint="eastAsia" w:eastAsia="仿宋_GB2312"/>
          <w:b/>
          <w:bCs/>
          <w:sz w:val="32"/>
          <w:szCs w:val="32"/>
        </w:rPr>
        <w:t xml:space="preserve">  </w:t>
      </w:r>
      <w:r>
        <w:rPr>
          <w:rFonts w:hint="eastAsia" w:ascii="仿宋_GB2312" w:eastAsia="仿宋_GB2312"/>
          <w:sz w:val="32"/>
          <w:szCs w:val="32"/>
        </w:rPr>
        <w:t>办公室和信息送交负责人定期向分管领导报告政府公开信息的送交情况。</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 xml:space="preserve">第十二条 </w:t>
      </w:r>
      <w:r>
        <w:rPr>
          <w:rFonts w:hint="eastAsia" w:ascii="仿宋_GB2312" w:eastAsia="仿宋_GB2312"/>
          <w:sz w:val="32"/>
          <w:szCs w:val="32"/>
        </w:rPr>
        <w:t>政府公开信息的送交工作纳入政府信息公开工作考核、评议内容。</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 xml:space="preserve">第十三条 </w:t>
      </w:r>
      <w:r>
        <w:rPr>
          <w:rFonts w:hint="eastAsia" w:ascii="仿宋_GB2312" w:eastAsia="仿宋_GB2312"/>
          <w:sz w:val="32"/>
          <w:szCs w:val="32"/>
        </w:rPr>
        <w:t>对违反本办法，不按规定送交政府公开信息的，或者不及时送交已变更公开的政府信息的，按有关规定要求给予严肃处理。</w:t>
      </w:r>
    </w:p>
    <w:p>
      <w:pPr>
        <w:spacing w:line="520" w:lineRule="exact"/>
        <w:ind w:firstLine="707" w:firstLineChars="220"/>
        <w:rPr>
          <w:rFonts w:ascii="仿宋_GB2312" w:eastAsia="仿宋_GB2312"/>
          <w:sz w:val="32"/>
          <w:szCs w:val="32"/>
        </w:rPr>
      </w:pPr>
      <w:r>
        <w:rPr>
          <w:rFonts w:hint="eastAsia" w:ascii="仿宋_GB2312" w:eastAsia="仿宋_GB2312"/>
          <w:b/>
          <w:bCs/>
          <w:sz w:val="32"/>
          <w:szCs w:val="32"/>
        </w:rPr>
        <w:t>第十四条</w:t>
      </w:r>
      <w:r>
        <w:rPr>
          <w:rFonts w:hint="eastAsia" w:eastAsia="仿宋_GB2312"/>
          <w:b/>
          <w:bCs/>
          <w:sz w:val="32"/>
          <w:szCs w:val="32"/>
        </w:rPr>
        <w:t xml:space="preserve">  </w:t>
      </w:r>
      <w:r>
        <w:rPr>
          <w:rFonts w:hint="eastAsia" w:ascii="仿宋_GB2312" w:eastAsia="仿宋_GB2312"/>
          <w:sz w:val="32"/>
          <w:szCs w:val="32"/>
        </w:rPr>
        <w:t>本办法自印发之日起施行。</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rFonts w:ascii="仿宋_GB2312" w:eastAsia="仿宋_GB2312"/>
          <w:sz w:val="32"/>
          <w:szCs w:val="32"/>
        </w:rPr>
      </w:pPr>
      <w:r>
        <w:rPr>
          <w:rFonts w:hint="eastAsia" w:ascii="仿宋_GB2312" w:eastAsia="仿宋_GB2312"/>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南安市政府公开信息交接文据</w:t>
      </w:r>
    </w:p>
    <w:p/>
    <w:p>
      <w:pPr>
        <w:rPr>
          <w:rFonts w:ascii="仿宋_GB2312" w:eastAsia="仿宋_GB2312"/>
          <w:sz w:val="30"/>
          <w:szCs w:val="30"/>
        </w:rPr>
      </w:pPr>
      <w:r>
        <w:rPr>
          <w:rFonts w:hint="eastAsia" w:ascii="仿宋_GB2312" w:eastAsia="仿宋_GB2312"/>
          <w:sz w:val="30"/>
          <w:szCs w:val="30"/>
        </w:rPr>
        <w:t>送交单位：南安市工信局                 单位代码：QZ07103</w:t>
      </w:r>
    </w:p>
    <w:p>
      <w:pPr>
        <w:rPr>
          <w:rFonts w:ascii="仿宋_GB2312" w:eastAsia="仿宋_GB2312"/>
          <w:sz w:val="30"/>
          <w:szCs w:val="30"/>
        </w:rPr>
      </w:pPr>
      <w:r>
        <w:rPr>
          <w:rFonts w:hint="eastAsia" w:ascii="仿宋_GB2312" w:eastAsia="仿宋_GB2312"/>
          <w:sz w:val="30"/>
          <w:szCs w:val="30"/>
        </w:rPr>
        <w:t>公开信息所属年代：       年</w:t>
      </w:r>
    </w:p>
    <w:p>
      <w:pPr>
        <w:rPr>
          <w:rFonts w:ascii="仿宋_GB2312" w:eastAsia="仿宋_GB2312"/>
          <w:sz w:val="30"/>
          <w:szCs w:val="30"/>
        </w:rPr>
      </w:pPr>
      <w:r>
        <w:rPr>
          <w:rFonts w:hint="eastAsia" w:ascii="仿宋_GB2312" w:eastAsia="仿宋_GB2312"/>
          <w:sz w:val="30"/>
          <w:szCs w:val="30"/>
        </w:rPr>
        <w:t>公开信息纸质文本：       份</w:t>
      </w:r>
    </w:p>
    <w:p>
      <w:pPr>
        <w:rPr>
          <w:rFonts w:ascii="仿宋_GB2312" w:eastAsia="仿宋_GB2312"/>
          <w:sz w:val="30"/>
          <w:szCs w:val="30"/>
        </w:rPr>
      </w:pPr>
      <w:r>
        <w:rPr>
          <w:rFonts w:hint="eastAsia" w:ascii="仿宋_GB2312" w:eastAsia="仿宋_GB2312"/>
          <w:sz w:val="30"/>
          <w:szCs w:val="30"/>
        </w:rPr>
        <w:t>公开信息电子文本：       份</w:t>
      </w:r>
    </w:p>
    <w:p>
      <w:pPr>
        <w:rPr>
          <w:rFonts w:ascii="仿宋_GB2312" w:eastAsia="仿宋_GB2312"/>
          <w:sz w:val="30"/>
          <w:szCs w:val="30"/>
        </w:rPr>
      </w:pPr>
      <w:r>
        <w:rPr>
          <w:rFonts w:hint="eastAsia" w:ascii="仿宋_GB2312" w:eastAsia="仿宋_GB2312"/>
          <w:sz w:val="30"/>
          <w:szCs w:val="30"/>
        </w:rPr>
        <w:t>信息公开指南：           份</w:t>
      </w:r>
    </w:p>
    <w:p>
      <w:pPr>
        <w:rPr>
          <w:rFonts w:ascii="仿宋_GB2312" w:eastAsia="仿宋_GB2312"/>
          <w:sz w:val="30"/>
          <w:szCs w:val="30"/>
        </w:rPr>
      </w:pPr>
      <w:r>
        <w:rPr>
          <w:rFonts w:hint="eastAsia" w:ascii="仿宋_GB2312" w:eastAsia="仿宋_GB2312"/>
          <w:sz w:val="30"/>
          <w:szCs w:val="30"/>
        </w:rPr>
        <w:t>信息公开工作年报：       份</w:t>
      </w:r>
    </w:p>
    <w:p>
      <w:pPr>
        <w:rPr>
          <w:rFonts w:ascii="仿宋_GB2312" w:eastAsia="仿宋_GB2312"/>
          <w:sz w:val="30"/>
          <w:szCs w:val="30"/>
        </w:rPr>
      </w:pPr>
      <w:r>
        <w:rPr>
          <w:rFonts w:hint="eastAsia" w:ascii="仿宋_GB2312" w:eastAsia="仿宋_GB2312"/>
          <w:sz w:val="30"/>
          <w:szCs w:val="30"/>
        </w:rPr>
        <w:t>信息公开目录：           份</w:t>
      </w:r>
    </w:p>
    <w:p>
      <w:pPr>
        <w:rPr>
          <w:rFonts w:ascii="仿宋_GB2312" w:eastAsia="仿宋_GB2312"/>
          <w:sz w:val="30"/>
          <w:szCs w:val="30"/>
        </w:rPr>
      </w:pPr>
      <w:r>
        <w:rPr>
          <w:rFonts w:hint="eastAsia" w:ascii="仿宋_GB2312" w:eastAsia="仿宋_GB2312"/>
          <w:sz w:val="30"/>
          <w:szCs w:val="30"/>
        </w:rPr>
        <w:t>信息公开目录索引：       条</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送交单位（盖章）               接收单位（盖章）</w:t>
      </w:r>
    </w:p>
    <w:p>
      <w:pPr>
        <w:rPr>
          <w:rFonts w:ascii="仿宋_GB2312" w:eastAsia="仿宋_GB2312"/>
          <w:sz w:val="30"/>
          <w:szCs w:val="30"/>
        </w:rPr>
      </w:pPr>
      <w:r>
        <w:rPr>
          <w:rFonts w:hint="eastAsia" w:ascii="仿宋_GB2312" w:eastAsia="仿宋_GB2312"/>
          <w:sz w:val="30"/>
          <w:szCs w:val="30"/>
        </w:rPr>
        <w:t>负责人：林良泉                 负责人：</w:t>
      </w:r>
    </w:p>
    <w:p>
      <w:pPr>
        <w:rPr>
          <w:rFonts w:ascii="仿宋_GB2312" w:eastAsia="仿宋_GB2312"/>
          <w:sz w:val="30"/>
          <w:szCs w:val="30"/>
        </w:rPr>
      </w:pPr>
      <w:r>
        <w:rPr>
          <w:rFonts w:hint="eastAsia" w:ascii="仿宋_GB2312" w:eastAsia="仿宋_GB2312"/>
          <w:sz w:val="30"/>
          <w:szCs w:val="30"/>
        </w:rPr>
        <w:t>经手人：                       经手人：</w:t>
      </w:r>
    </w:p>
    <w:p>
      <w:pPr>
        <w:ind w:firstLine="4950" w:firstLineChars="1650"/>
        <w:rPr>
          <w:rFonts w:ascii="仿宋_GB2312" w:eastAsia="仿宋_GB2312"/>
          <w:sz w:val="30"/>
          <w:szCs w:val="30"/>
        </w:rPr>
      </w:pPr>
      <w:r>
        <w:rPr>
          <w:rFonts w:hint="eastAsia" w:ascii="仿宋_GB2312" w:eastAsia="仿宋_GB2312"/>
          <w:sz w:val="30"/>
          <w:szCs w:val="30"/>
        </w:rPr>
        <w:t>年 月 日</w:t>
      </w:r>
    </w:p>
    <w:p>
      <w:pPr>
        <w:rPr>
          <w:rFonts w:ascii="仿宋_GB2312" w:eastAsia="仿宋_GB2312"/>
          <w:sz w:val="30"/>
          <w:szCs w:val="30"/>
        </w:rPr>
      </w:pPr>
      <w:r>
        <w:rPr>
          <w:rFonts w:hint="eastAsia" w:ascii="仿宋_GB2312" w:eastAsia="仿宋_GB2312"/>
          <w:sz w:val="30"/>
          <w:szCs w:val="30"/>
        </w:rPr>
        <w:t>（交接文据共制二份，交接双方各执一份）</w:t>
      </w:r>
    </w:p>
    <w:p>
      <w:pPr>
        <w:rPr>
          <w:rFonts w:ascii="仿宋_GB2312" w:eastAsia="仿宋_GB2312"/>
          <w:sz w:val="30"/>
          <w:szCs w:val="30"/>
        </w:rPr>
      </w:pPr>
    </w:p>
    <w:p>
      <w:pPr>
        <w:rPr>
          <w:rFonts w:ascii="仿宋_GB2312" w:eastAsia="仿宋_GB2312"/>
          <w:sz w:val="30"/>
          <w:szCs w:val="30"/>
        </w:rPr>
      </w:pPr>
    </w:p>
    <w:p>
      <w:pPr>
        <w:spacing w:line="560" w:lineRule="exact"/>
      </w:pPr>
    </w:p>
    <w:p>
      <w:pPr>
        <w:spacing w:line="560" w:lineRule="exact"/>
      </w:pPr>
    </w:p>
    <w:p>
      <w:pPr>
        <w:spacing w:line="560" w:lineRule="exact"/>
      </w:pPr>
    </w:p>
    <w:p>
      <w:pPr>
        <w:spacing w:line="560" w:lineRule="exact"/>
      </w:pPr>
    </w:p>
    <w:p>
      <w:pPr>
        <w:spacing w:line="560" w:lineRule="exact"/>
        <w:rPr>
          <w:rFonts w:ascii="仿宋_GB2312" w:eastAsia="仿宋_GB2312"/>
          <w:sz w:val="32"/>
          <w:szCs w:val="32"/>
        </w:rPr>
      </w:pPr>
      <w:r>
        <w:rPr>
          <w:rFonts w:hint="eastAsia" w:ascii="仿宋_GB2312" w:eastAsia="仿宋_GB2312"/>
          <w:sz w:val="32"/>
          <w:szCs w:val="32"/>
        </w:rPr>
        <w:t>附件2</w:t>
      </w:r>
    </w:p>
    <w:p>
      <w:pPr>
        <w:widowControl/>
        <w:snapToGrid w:val="0"/>
        <w:spacing w:beforeLines="50"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政府信息送交目录表</w:t>
      </w:r>
    </w:p>
    <w:p>
      <w:pPr>
        <w:widowControl/>
        <w:snapToGrid w:val="0"/>
        <w:spacing w:beforeLines="200" w:line="600" w:lineRule="atLeast"/>
        <w:ind w:firstLine="300" w:firstLineChars="100"/>
        <w:jc w:val="left"/>
        <w:rPr>
          <w:rFonts w:eastAsia="方正仿宋简体"/>
          <w:kern w:val="0"/>
          <w:sz w:val="30"/>
          <w:szCs w:val="30"/>
        </w:rPr>
      </w:pPr>
      <w:r>
        <w:rPr>
          <w:rFonts w:eastAsia="方正仿宋简体"/>
          <w:kern w:val="0"/>
          <w:sz w:val="30"/>
          <w:szCs w:val="30"/>
        </w:rPr>
        <w:t xml:space="preserve">送交单位（公章）：    单位代码：      送交日期：  </w:t>
      </w:r>
      <w:r>
        <w:rPr>
          <w:rFonts w:hint="eastAsia" w:eastAsia="方正仿宋简体"/>
          <w:kern w:val="0"/>
          <w:sz w:val="30"/>
          <w:szCs w:val="30"/>
        </w:rPr>
        <w:t xml:space="preserve"> </w:t>
      </w:r>
      <w:r>
        <w:rPr>
          <w:rFonts w:eastAsia="方正仿宋简体"/>
          <w:kern w:val="0"/>
          <w:sz w:val="30"/>
          <w:szCs w:val="30"/>
        </w:rPr>
        <w:t>年   月   日</w:t>
      </w:r>
    </w:p>
    <w:tbl>
      <w:tblPr>
        <w:tblStyle w:val="7"/>
        <w:tblW w:w="9074" w:type="dxa"/>
        <w:jc w:val="center"/>
        <w:tblInd w:w="3118" w:type="dxa"/>
        <w:tblLayout w:type="fixed"/>
        <w:tblCellMar>
          <w:top w:w="0" w:type="dxa"/>
          <w:left w:w="108" w:type="dxa"/>
          <w:bottom w:w="0" w:type="dxa"/>
          <w:right w:w="108" w:type="dxa"/>
        </w:tblCellMar>
      </w:tblPr>
      <w:tblGrid>
        <w:gridCol w:w="994"/>
        <w:gridCol w:w="1701"/>
        <w:gridCol w:w="1560"/>
        <w:gridCol w:w="1329"/>
        <w:gridCol w:w="1647"/>
        <w:gridCol w:w="1843"/>
      </w:tblGrid>
      <w:tr>
        <w:tblPrEx>
          <w:tblLayout w:type="fixed"/>
          <w:tblCellMar>
            <w:top w:w="0" w:type="dxa"/>
            <w:left w:w="108" w:type="dxa"/>
            <w:bottom w:w="0" w:type="dxa"/>
            <w:right w:w="108" w:type="dxa"/>
          </w:tblCellMar>
        </w:tblPrEx>
        <w:trPr>
          <w:trHeight w:val="737" w:hRule="atLeast"/>
          <w:jc w:val="center"/>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黑体" w:hAnsi="黑体" w:eastAsia="黑体"/>
                <w:kern w:val="0"/>
                <w:sz w:val="32"/>
                <w:szCs w:val="32"/>
              </w:rPr>
            </w:pPr>
            <w:r>
              <w:rPr>
                <w:rFonts w:ascii="黑体" w:hAnsi="黑体" w:eastAsia="黑体"/>
                <w:kern w:val="0"/>
                <w:sz w:val="32"/>
                <w:szCs w:val="32"/>
              </w:rPr>
              <w:t>序号</w:t>
            </w:r>
          </w:p>
        </w:tc>
        <w:tc>
          <w:tcPr>
            <w:tcW w:w="1701" w:type="dxa"/>
            <w:tcBorders>
              <w:top w:val="single" w:color="000000" w:sz="4" w:space="0"/>
              <w:left w:val="nil"/>
              <w:bottom w:val="single" w:color="000000" w:sz="4" w:space="0"/>
              <w:right w:val="single" w:color="000000" w:sz="4" w:space="0"/>
            </w:tcBorders>
            <w:vAlign w:val="center"/>
          </w:tcPr>
          <w:p>
            <w:pPr>
              <w:widowControl/>
              <w:snapToGrid w:val="0"/>
              <w:jc w:val="center"/>
              <w:rPr>
                <w:rFonts w:ascii="黑体" w:hAnsi="黑体" w:eastAsia="黑体"/>
                <w:kern w:val="0"/>
                <w:sz w:val="32"/>
                <w:szCs w:val="32"/>
              </w:rPr>
            </w:pPr>
            <w:r>
              <w:rPr>
                <w:rFonts w:ascii="黑体" w:hAnsi="黑体" w:eastAsia="黑体"/>
                <w:kern w:val="0"/>
                <w:sz w:val="32"/>
                <w:szCs w:val="32"/>
              </w:rPr>
              <w:t>索引号</w:t>
            </w:r>
          </w:p>
        </w:tc>
        <w:tc>
          <w:tcPr>
            <w:tcW w:w="1560" w:type="dxa"/>
            <w:tcBorders>
              <w:top w:val="single" w:color="000000" w:sz="4" w:space="0"/>
              <w:left w:val="nil"/>
              <w:bottom w:val="single" w:color="000000" w:sz="4" w:space="0"/>
              <w:right w:val="single" w:color="000000" w:sz="4" w:space="0"/>
            </w:tcBorders>
            <w:vAlign w:val="center"/>
          </w:tcPr>
          <w:p>
            <w:pPr>
              <w:widowControl/>
              <w:snapToGrid w:val="0"/>
              <w:jc w:val="center"/>
              <w:rPr>
                <w:rFonts w:ascii="黑体" w:hAnsi="黑体" w:eastAsia="黑体"/>
                <w:kern w:val="0"/>
                <w:sz w:val="32"/>
                <w:szCs w:val="32"/>
              </w:rPr>
            </w:pPr>
            <w:r>
              <w:rPr>
                <w:rFonts w:ascii="黑体" w:hAnsi="黑体" w:eastAsia="黑体"/>
                <w:kern w:val="0"/>
                <w:sz w:val="32"/>
                <w:szCs w:val="32"/>
              </w:rPr>
              <w:t>信息名称</w:t>
            </w:r>
          </w:p>
        </w:tc>
        <w:tc>
          <w:tcPr>
            <w:tcW w:w="1329" w:type="dxa"/>
            <w:tcBorders>
              <w:top w:val="single" w:color="000000" w:sz="4" w:space="0"/>
              <w:left w:val="nil"/>
              <w:bottom w:val="single" w:color="000000" w:sz="4" w:space="0"/>
              <w:right w:val="single" w:color="000000" w:sz="4" w:space="0"/>
            </w:tcBorders>
            <w:vAlign w:val="center"/>
          </w:tcPr>
          <w:p>
            <w:pPr>
              <w:widowControl/>
              <w:snapToGrid w:val="0"/>
              <w:jc w:val="center"/>
              <w:rPr>
                <w:rFonts w:ascii="黑体" w:hAnsi="黑体" w:eastAsia="黑体"/>
                <w:kern w:val="0"/>
                <w:sz w:val="32"/>
                <w:szCs w:val="32"/>
              </w:rPr>
            </w:pPr>
            <w:r>
              <w:rPr>
                <w:rFonts w:ascii="黑体" w:hAnsi="黑体" w:eastAsia="黑体"/>
                <w:kern w:val="0"/>
                <w:sz w:val="32"/>
                <w:szCs w:val="32"/>
              </w:rPr>
              <w:t>文  号</w:t>
            </w:r>
          </w:p>
        </w:tc>
        <w:tc>
          <w:tcPr>
            <w:tcW w:w="1647" w:type="dxa"/>
            <w:tcBorders>
              <w:top w:val="single" w:color="000000" w:sz="4" w:space="0"/>
              <w:left w:val="nil"/>
              <w:bottom w:val="single" w:color="000000" w:sz="4" w:space="0"/>
              <w:right w:val="single" w:color="000000" w:sz="4" w:space="0"/>
            </w:tcBorders>
            <w:vAlign w:val="center"/>
          </w:tcPr>
          <w:p>
            <w:pPr>
              <w:widowControl/>
              <w:snapToGrid w:val="0"/>
              <w:jc w:val="center"/>
              <w:rPr>
                <w:rFonts w:ascii="黑体" w:hAnsi="黑体" w:eastAsia="黑体"/>
                <w:kern w:val="0"/>
                <w:sz w:val="32"/>
                <w:szCs w:val="32"/>
              </w:rPr>
            </w:pPr>
            <w:r>
              <w:rPr>
                <w:rFonts w:ascii="黑体" w:hAnsi="黑体" w:eastAsia="黑体"/>
                <w:kern w:val="0"/>
                <w:sz w:val="32"/>
                <w:szCs w:val="32"/>
              </w:rPr>
              <w:t>生成日期</w:t>
            </w:r>
          </w:p>
        </w:tc>
        <w:tc>
          <w:tcPr>
            <w:tcW w:w="1843" w:type="dxa"/>
            <w:tcBorders>
              <w:top w:val="single" w:color="000000" w:sz="4" w:space="0"/>
              <w:left w:val="nil"/>
              <w:bottom w:val="single" w:color="000000" w:sz="4" w:space="0"/>
              <w:right w:val="single" w:color="000000" w:sz="4" w:space="0"/>
            </w:tcBorders>
            <w:vAlign w:val="center"/>
          </w:tcPr>
          <w:p>
            <w:pPr>
              <w:widowControl/>
              <w:snapToGrid w:val="0"/>
              <w:jc w:val="center"/>
              <w:rPr>
                <w:rFonts w:ascii="黑体" w:hAnsi="黑体" w:eastAsia="黑体"/>
                <w:kern w:val="0"/>
                <w:sz w:val="32"/>
                <w:szCs w:val="32"/>
              </w:rPr>
            </w:pPr>
            <w:r>
              <w:rPr>
                <w:rFonts w:ascii="黑体" w:hAnsi="黑体" w:eastAsia="黑体"/>
                <w:kern w:val="0"/>
                <w:sz w:val="32"/>
                <w:szCs w:val="32"/>
              </w:rPr>
              <w:t>备  注</w:t>
            </w:r>
          </w:p>
        </w:tc>
      </w:tr>
      <w:tr>
        <w:tblPrEx>
          <w:tblLayout w:type="fixed"/>
          <w:tblCellMar>
            <w:top w:w="0" w:type="dxa"/>
            <w:left w:w="108" w:type="dxa"/>
            <w:bottom w:w="0" w:type="dxa"/>
            <w:right w:w="108" w:type="dxa"/>
          </w:tblCellMar>
        </w:tblPrEx>
        <w:trPr>
          <w:trHeight w:val="737" w:hRule="atLeast"/>
          <w:jc w:val="center"/>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701"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560"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329"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647"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r>
      <w:tr>
        <w:tblPrEx>
          <w:tblLayout w:type="fixed"/>
          <w:tblCellMar>
            <w:top w:w="0" w:type="dxa"/>
            <w:left w:w="108" w:type="dxa"/>
            <w:bottom w:w="0" w:type="dxa"/>
            <w:right w:w="108" w:type="dxa"/>
          </w:tblCellMar>
        </w:tblPrEx>
        <w:trPr>
          <w:trHeight w:val="737" w:hRule="atLeast"/>
          <w:jc w:val="center"/>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701"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560"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329"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647"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r>
      <w:tr>
        <w:tblPrEx>
          <w:tblLayout w:type="fixed"/>
          <w:tblCellMar>
            <w:top w:w="0" w:type="dxa"/>
            <w:left w:w="108" w:type="dxa"/>
            <w:bottom w:w="0" w:type="dxa"/>
            <w:right w:w="108" w:type="dxa"/>
          </w:tblCellMar>
        </w:tblPrEx>
        <w:trPr>
          <w:trHeight w:val="737" w:hRule="atLeast"/>
          <w:jc w:val="center"/>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701"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560"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329"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647"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r>
      <w:tr>
        <w:tblPrEx>
          <w:tblLayout w:type="fixed"/>
          <w:tblCellMar>
            <w:top w:w="0" w:type="dxa"/>
            <w:left w:w="108" w:type="dxa"/>
            <w:bottom w:w="0" w:type="dxa"/>
            <w:right w:w="108" w:type="dxa"/>
          </w:tblCellMar>
        </w:tblPrEx>
        <w:trPr>
          <w:trHeight w:val="737" w:hRule="atLeast"/>
          <w:jc w:val="center"/>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701"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560"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329"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647"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r>
      <w:tr>
        <w:tblPrEx>
          <w:tblLayout w:type="fixed"/>
          <w:tblCellMar>
            <w:top w:w="0" w:type="dxa"/>
            <w:left w:w="108" w:type="dxa"/>
            <w:bottom w:w="0" w:type="dxa"/>
            <w:right w:w="108" w:type="dxa"/>
          </w:tblCellMar>
        </w:tblPrEx>
        <w:trPr>
          <w:trHeight w:val="737" w:hRule="atLeast"/>
          <w:jc w:val="center"/>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701"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560"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329"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647"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snapToGrid w:val="0"/>
              <w:jc w:val="center"/>
              <w:rPr>
                <w:rFonts w:eastAsia="方正仿宋简体"/>
                <w:kern w:val="0"/>
                <w:sz w:val="32"/>
                <w:szCs w:val="32"/>
              </w:rPr>
            </w:pPr>
          </w:p>
        </w:tc>
      </w:tr>
    </w:tbl>
    <w:p>
      <w:pPr>
        <w:widowControl/>
        <w:snapToGrid w:val="0"/>
        <w:spacing w:line="600" w:lineRule="atLeast"/>
        <w:jc w:val="left"/>
        <w:rPr>
          <w:rFonts w:eastAsia="方正仿宋简体"/>
          <w:kern w:val="0"/>
          <w:sz w:val="32"/>
          <w:szCs w:val="32"/>
        </w:rPr>
      </w:pPr>
      <w:r>
        <w:rPr>
          <w:rFonts w:eastAsia="方正仿宋简体"/>
          <w:kern w:val="0"/>
          <w:sz w:val="32"/>
          <w:szCs w:val="32"/>
        </w:rPr>
        <w:t>联系人：                 联系方式：</w:t>
      </w:r>
    </w:p>
    <w:p>
      <w:pPr>
        <w:widowControl/>
        <w:snapToGrid w:val="0"/>
        <w:spacing w:line="600" w:lineRule="atLeast"/>
        <w:jc w:val="left"/>
        <w:rPr>
          <w:rFonts w:eastAsia="方正仿宋简体"/>
          <w:sz w:val="32"/>
          <w:szCs w:val="32"/>
        </w:rPr>
      </w:pPr>
    </w:p>
    <w:p>
      <w:pPr>
        <w:rPr>
          <w:rFonts w:eastAsia="方正仿宋简体"/>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left"/>
        <w:rPr>
          <w:rFonts w:ascii="仿宋_GB2312" w:eastAsia="仿宋_GB2312"/>
          <w:sz w:val="28"/>
          <w:szCs w:val="28"/>
        </w:rPr>
      </w:pPr>
    </w:p>
    <w:sectPr>
      <w:headerReference r:id="rId3" w:type="default"/>
      <w:footerReference r:id="rId4" w:type="default"/>
      <w:pgSz w:w="11906" w:h="16838"/>
      <w:pgMar w:top="1247" w:right="1418"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235299"/>
      <w:docPartObj>
        <w:docPartGallery w:val="autotext"/>
      </w:docPartObj>
    </w:sdtPr>
    <w:sdtContent>
      <w:p>
        <w:pPr>
          <w:pStyle w:val="4"/>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2"/>
    <w:rsid w:val="0000609C"/>
    <w:rsid w:val="00023989"/>
    <w:rsid w:val="000258A0"/>
    <w:rsid w:val="00025ED2"/>
    <w:rsid w:val="000B6AE0"/>
    <w:rsid w:val="000D3E09"/>
    <w:rsid w:val="000F58FB"/>
    <w:rsid w:val="00165117"/>
    <w:rsid w:val="0017346A"/>
    <w:rsid w:val="001A7A36"/>
    <w:rsid w:val="001F5F62"/>
    <w:rsid w:val="00222AD3"/>
    <w:rsid w:val="00261182"/>
    <w:rsid w:val="0027614F"/>
    <w:rsid w:val="002F527E"/>
    <w:rsid w:val="003106D5"/>
    <w:rsid w:val="00363D0F"/>
    <w:rsid w:val="0037415B"/>
    <w:rsid w:val="00391D78"/>
    <w:rsid w:val="003C2663"/>
    <w:rsid w:val="003C7348"/>
    <w:rsid w:val="003D7AEF"/>
    <w:rsid w:val="00446CCD"/>
    <w:rsid w:val="00446DEE"/>
    <w:rsid w:val="004765B6"/>
    <w:rsid w:val="00480DD7"/>
    <w:rsid w:val="004E4F42"/>
    <w:rsid w:val="004F5FDB"/>
    <w:rsid w:val="005032C2"/>
    <w:rsid w:val="00551E76"/>
    <w:rsid w:val="00572EB5"/>
    <w:rsid w:val="00587C67"/>
    <w:rsid w:val="005A31BB"/>
    <w:rsid w:val="005B0584"/>
    <w:rsid w:val="005B58C8"/>
    <w:rsid w:val="005E4CF4"/>
    <w:rsid w:val="005E6808"/>
    <w:rsid w:val="005E71CC"/>
    <w:rsid w:val="0062613B"/>
    <w:rsid w:val="00663DD9"/>
    <w:rsid w:val="006714A3"/>
    <w:rsid w:val="0067771E"/>
    <w:rsid w:val="006849F8"/>
    <w:rsid w:val="0069367F"/>
    <w:rsid w:val="006B463C"/>
    <w:rsid w:val="006C5990"/>
    <w:rsid w:val="006D58D4"/>
    <w:rsid w:val="006E7780"/>
    <w:rsid w:val="006F0DE1"/>
    <w:rsid w:val="006F2278"/>
    <w:rsid w:val="00727F48"/>
    <w:rsid w:val="00762E29"/>
    <w:rsid w:val="00786577"/>
    <w:rsid w:val="007B3144"/>
    <w:rsid w:val="007C563F"/>
    <w:rsid w:val="007E2C14"/>
    <w:rsid w:val="007E5CDA"/>
    <w:rsid w:val="008200EB"/>
    <w:rsid w:val="00867ACE"/>
    <w:rsid w:val="008D3FB7"/>
    <w:rsid w:val="008E7107"/>
    <w:rsid w:val="008F2D89"/>
    <w:rsid w:val="008F5F33"/>
    <w:rsid w:val="0090394F"/>
    <w:rsid w:val="0091163E"/>
    <w:rsid w:val="009724BE"/>
    <w:rsid w:val="00973E49"/>
    <w:rsid w:val="009864FA"/>
    <w:rsid w:val="009B532D"/>
    <w:rsid w:val="009C6C4C"/>
    <w:rsid w:val="009D08A5"/>
    <w:rsid w:val="009E5FA3"/>
    <w:rsid w:val="009F09C1"/>
    <w:rsid w:val="00A83C94"/>
    <w:rsid w:val="00AC330A"/>
    <w:rsid w:val="00AD176B"/>
    <w:rsid w:val="00B03E5C"/>
    <w:rsid w:val="00B154A6"/>
    <w:rsid w:val="00B167C5"/>
    <w:rsid w:val="00B24987"/>
    <w:rsid w:val="00B4793D"/>
    <w:rsid w:val="00B65912"/>
    <w:rsid w:val="00BC51D7"/>
    <w:rsid w:val="00C34F06"/>
    <w:rsid w:val="00C9221A"/>
    <w:rsid w:val="00CB4990"/>
    <w:rsid w:val="00CE5F9A"/>
    <w:rsid w:val="00D94EA9"/>
    <w:rsid w:val="00DA04C8"/>
    <w:rsid w:val="00DE02A1"/>
    <w:rsid w:val="00E03085"/>
    <w:rsid w:val="00E23CDF"/>
    <w:rsid w:val="00E36F7E"/>
    <w:rsid w:val="00E46941"/>
    <w:rsid w:val="00E63B5E"/>
    <w:rsid w:val="00EA5E02"/>
    <w:rsid w:val="00EE4C3D"/>
    <w:rsid w:val="00F011BA"/>
    <w:rsid w:val="00F5174D"/>
    <w:rsid w:val="00F8548C"/>
    <w:rsid w:val="00FA7D1D"/>
    <w:rsid w:val="00FC3FA6"/>
    <w:rsid w:val="00FE17D6"/>
    <w:rsid w:val="056D11FA"/>
    <w:rsid w:val="29AB13AD"/>
    <w:rsid w:val="3D1A5FA4"/>
    <w:rsid w:val="408B5DF3"/>
    <w:rsid w:val="4D582DDF"/>
    <w:rsid w:val="59E702D9"/>
    <w:rsid w:val="65817F87"/>
    <w:rsid w:val="7ACD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bCs/>
      <w:kern w:val="44"/>
      <w:sz w:val="44"/>
      <w:szCs w:val="44"/>
    </w:rPr>
  </w:style>
  <w:style w:type="character" w:default="1" w:styleId="8">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0"/>
    <w:rPr>
      <w:sz w:val="44"/>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uiPriority w:val="0"/>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
    <w:name w:val="页脚 Char"/>
    <w:basedOn w:val="8"/>
    <w:link w:val="4"/>
    <w:qFormat/>
    <w:uiPriority w:val="99"/>
    <w:rPr>
      <w:kern w:val="2"/>
      <w:sz w:val="18"/>
      <w:szCs w:val="18"/>
    </w:rPr>
  </w:style>
  <w:style w:type="character" w:customStyle="1" w:styleId="13">
    <w:name w:val="标题 1 Char"/>
    <w:basedOn w:val="8"/>
    <w:link w:val="2"/>
    <w:qFormat/>
    <w:uiPriority w:val="0"/>
    <w:rPr>
      <w:b/>
      <w:bCs/>
      <w:kern w:val="44"/>
      <w:sz w:val="44"/>
      <w:szCs w:val="44"/>
    </w:rPr>
  </w:style>
  <w:style w:type="character" w:customStyle="1" w:styleId="14">
    <w:name w:val="页眉 Char"/>
    <w:basedOn w:val="8"/>
    <w:link w:val="5"/>
    <w:qFormat/>
    <w:uiPriority w:val="0"/>
    <w:rPr>
      <w:kern w:val="2"/>
      <w:sz w:val="18"/>
      <w:szCs w:val="18"/>
    </w:rPr>
  </w:style>
  <w:style w:type="character" w:customStyle="1" w:styleId="15">
    <w:name w:val="正文文本 Char"/>
    <w:basedOn w:val="8"/>
    <w:link w:val="3"/>
    <w:qFormat/>
    <w:uiPriority w:val="0"/>
    <w:rPr>
      <w:kern w:val="2"/>
      <w:sz w:val="44"/>
    </w:rPr>
  </w:style>
  <w:style w:type="character" w:customStyle="1" w:styleId="16">
    <w:name w:val="正文文本 Char1"/>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07E69-0D54-43C3-9198-87C1C3DEE7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2415</Words>
  <Characters>13768</Characters>
  <Lines>114</Lines>
  <Paragraphs>32</Paragraphs>
  <TotalTime>132</TotalTime>
  <ScaleCrop>false</ScaleCrop>
  <LinksUpToDate>false</LinksUpToDate>
  <CharactersWithSpaces>16151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2019-05-31T01:11:00Z</dcterms:created>
  <dc:creator>猪猪猫.CN</dc:creator>
  <cp:lastModifiedBy>HP</cp:lastModifiedBy>
  <cp:lastPrinted>2019-06-10T02:25:00Z</cp:lastPrinted>
  <dcterms:modified xsi:type="dcterms:W3CDTF">2019-06-19T03:51:17Z</dcterms:modified>
  <dc:title>南经贸〔2012〕6号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