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pacing w:before="0" w:after="0" w:line="560" w:lineRule="exact"/>
        <w:jc w:val="both"/>
        <w:textAlignment w:val="auto"/>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5</w:t>
      </w:r>
    </w:p>
    <w:p>
      <w:pPr>
        <w:spacing w:afterLines="150"/>
        <w:jc w:val="center"/>
        <w:rPr>
          <w:rFonts w:ascii="方正小标宋简体" w:eastAsia="方正小标宋简体"/>
          <w:b/>
          <w:bCs/>
          <w:sz w:val="44"/>
          <w:szCs w:val="44"/>
        </w:rPr>
      </w:pPr>
      <w:bookmarkStart w:id="0" w:name="_GoBack"/>
      <w:r>
        <w:rPr>
          <w:rFonts w:hint="eastAsia" w:ascii="方正小标宋简体" w:eastAsia="方正小标宋简体"/>
          <w:b/>
          <w:bCs/>
          <w:sz w:val="44"/>
          <w:szCs w:val="44"/>
        </w:rPr>
        <w:t>南安市工信局政府信息公开工作统计报送制度</w:t>
      </w:r>
      <w:bookmarkEnd w:id="0"/>
    </w:p>
    <w:p>
      <w:pPr>
        <w:ind w:firstLine="707" w:firstLineChars="221"/>
        <w:rPr>
          <w:rFonts w:ascii="仿宋_GB2312" w:eastAsia="仿宋_GB2312"/>
          <w:sz w:val="32"/>
          <w:szCs w:val="32"/>
        </w:rPr>
      </w:pPr>
      <w:r>
        <w:rPr>
          <w:rFonts w:hint="eastAsia" w:ascii="仿宋_GB2312" w:eastAsia="仿宋_GB2312"/>
          <w:sz w:val="32"/>
          <w:szCs w:val="32"/>
        </w:rPr>
        <w:t>第一条　为进一步加强和规范市工信局政府信息公开情况统计报送工作，建立指标统一、项目规范、口径一致、数据准确的工信信息公开情况统计报送制度，按照《中华人民共和国政府信息公开条例》，结合我局工作实际，制定本制度。</w:t>
      </w:r>
    </w:p>
    <w:p>
      <w:pPr>
        <w:ind w:firstLine="707" w:firstLineChars="221"/>
        <w:rPr>
          <w:rFonts w:ascii="仿宋_GB2312" w:eastAsia="仿宋_GB2312"/>
          <w:sz w:val="32"/>
          <w:szCs w:val="32"/>
        </w:rPr>
      </w:pPr>
      <w:r>
        <w:rPr>
          <w:rFonts w:hint="eastAsia" w:ascii="仿宋_GB2312" w:eastAsia="仿宋_GB2312"/>
          <w:sz w:val="32"/>
          <w:szCs w:val="32"/>
        </w:rPr>
        <w:t>第二条　工信信息统计内容：</w:t>
      </w:r>
    </w:p>
    <w:p>
      <w:pPr>
        <w:ind w:firstLine="707" w:firstLineChars="221"/>
        <w:rPr>
          <w:rFonts w:ascii="仿宋_GB2312" w:eastAsia="仿宋_GB2312"/>
          <w:sz w:val="32"/>
          <w:szCs w:val="32"/>
        </w:rPr>
      </w:pPr>
      <w:r>
        <w:rPr>
          <w:rFonts w:hint="eastAsia" w:ascii="仿宋_GB2312" w:eastAsia="仿宋_GB2312"/>
          <w:sz w:val="32"/>
          <w:szCs w:val="32"/>
        </w:rPr>
        <w:t>主动公开、依申请公开、政策解读、回应社会关切、行政复议、行政诉讼、举报投诉、机构建设和工信信息公开相关培训和宣传、制度建设和经费保障等情况；按照《政府信息公开情况统计表》统计指标，统计本单位工信信息发布总体情况。</w:t>
      </w:r>
    </w:p>
    <w:p>
      <w:pPr>
        <w:ind w:firstLine="707" w:firstLineChars="221"/>
        <w:rPr>
          <w:rFonts w:ascii="仿宋_GB2312" w:eastAsia="仿宋_GB2312"/>
          <w:sz w:val="32"/>
          <w:szCs w:val="32"/>
        </w:rPr>
      </w:pPr>
      <w:r>
        <w:rPr>
          <w:rFonts w:hint="eastAsia" w:ascii="仿宋_GB2312" w:eastAsia="仿宋_GB2312"/>
          <w:sz w:val="32"/>
          <w:szCs w:val="32"/>
        </w:rPr>
        <w:t>第三条　局机关各科室、各直属单位为工信信息公开工作统计单位（以下统称为统计单位）。</w:t>
      </w:r>
    </w:p>
    <w:p>
      <w:pPr>
        <w:ind w:firstLine="707" w:firstLineChars="221"/>
        <w:rPr>
          <w:rFonts w:ascii="仿宋_GB2312" w:eastAsia="仿宋_GB2312"/>
          <w:sz w:val="32"/>
          <w:szCs w:val="32"/>
        </w:rPr>
      </w:pPr>
      <w:r>
        <w:rPr>
          <w:rFonts w:hint="eastAsia" w:ascii="仿宋_GB2312" w:eastAsia="仿宋_GB2312"/>
          <w:sz w:val="32"/>
          <w:szCs w:val="32"/>
        </w:rPr>
        <w:t>第四条　工信信息公开统计报送工作由局政府信息公开工作领导小组办公室负责。</w:t>
      </w:r>
    </w:p>
    <w:p>
      <w:pPr>
        <w:ind w:firstLine="707" w:firstLineChars="221"/>
        <w:rPr>
          <w:rFonts w:ascii="仿宋_GB2312" w:eastAsia="仿宋_GB2312"/>
          <w:sz w:val="32"/>
          <w:szCs w:val="32"/>
        </w:rPr>
      </w:pPr>
      <w:r>
        <w:rPr>
          <w:rFonts w:hint="eastAsia" w:ascii="仿宋_GB2312" w:eastAsia="仿宋_GB2312"/>
          <w:sz w:val="32"/>
          <w:szCs w:val="32"/>
        </w:rPr>
        <w:t>第五条　加强统计分析。统计分析采取定期分析与不定期分析相结合的原则。按照市政府信息公开办要求，每季度对本部门工信信息公开情况进行统计；根据不同时期工作重点或领导要求，不定期地进行专题分析。统计分析以全面、准确、及时填报统计报表和深入调查研究为基础，紧密结合当前形势和工作实际进行。</w:t>
      </w:r>
    </w:p>
    <w:p>
      <w:pPr>
        <w:ind w:firstLine="707" w:firstLineChars="221"/>
        <w:rPr>
          <w:rFonts w:ascii="仿宋_GB2312" w:eastAsia="仿宋_GB2312"/>
          <w:sz w:val="32"/>
          <w:szCs w:val="32"/>
        </w:rPr>
      </w:pPr>
      <w:r>
        <w:rPr>
          <w:rFonts w:hint="eastAsia" w:ascii="仿宋_GB2312" w:eastAsia="仿宋_GB2312"/>
          <w:sz w:val="32"/>
          <w:szCs w:val="32"/>
        </w:rPr>
        <w:t>第六条　报送要求。局办公室指定专人负责填写工信信息公开情况统计表格，并按规定要求及时将有关统计数据报送至市政府信息公开办。</w:t>
      </w:r>
    </w:p>
    <w:p>
      <w:pPr>
        <w:ind w:firstLine="707" w:firstLineChars="221"/>
        <w:rPr>
          <w:rFonts w:ascii="仿宋_GB2312" w:eastAsia="仿宋_GB2312"/>
          <w:sz w:val="32"/>
          <w:szCs w:val="32"/>
        </w:rPr>
      </w:pPr>
      <w:r>
        <w:rPr>
          <w:rFonts w:hint="eastAsia" w:ascii="仿宋_GB2312" w:eastAsia="仿宋_GB2312"/>
          <w:sz w:val="32"/>
          <w:szCs w:val="32"/>
        </w:rPr>
        <w:t>第七条　对于制度执行不到位的，按照信息公开有关规定给予严肃处理。</w:t>
      </w:r>
    </w:p>
    <w:p>
      <w:pPr>
        <w:ind w:firstLine="707" w:firstLineChars="221"/>
        <w:rPr>
          <w:rFonts w:ascii="仿宋_GB2312" w:eastAsia="仿宋_GB2312"/>
          <w:sz w:val="32"/>
          <w:szCs w:val="32"/>
        </w:rPr>
      </w:pPr>
      <w:r>
        <w:rPr>
          <w:rFonts w:hint="eastAsia" w:ascii="仿宋_GB2312" w:eastAsia="仿宋_GB2312"/>
          <w:sz w:val="32"/>
          <w:szCs w:val="32"/>
        </w:rPr>
        <w:t>第八条　本制度由局政府信息公开工作领导小组办公室负责解释，本制度自印发之日起实施。</w:t>
      </w:r>
    </w:p>
    <w:p>
      <w:pPr>
        <w:spacing w:afterLines="150"/>
        <w:jc w:val="center"/>
        <w:rPr>
          <w:rFonts w:hint="eastAsia" w:ascii="方正小标宋简体" w:eastAsia="方正小标宋简体"/>
          <w:b/>
          <w:bCs/>
          <w:sz w:val="44"/>
          <w:szCs w:val="44"/>
        </w:rPr>
      </w:pPr>
    </w:p>
    <w:p>
      <w:pPr>
        <w:spacing w:afterLines="150"/>
        <w:jc w:val="center"/>
        <w:rPr>
          <w:rFonts w:hint="eastAsia" w:ascii="方正小标宋简体" w:eastAsia="方正小标宋简体"/>
          <w:b/>
          <w:bCs/>
          <w:sz w:val="44"/>
          <w:szCs w:val="44"/>
        </w:rPr>
      </w:pPr>
    </w:p>
    <w:p>
      <w:pPr>
        <w:spacing w:afterLines="150"/>
        <w:jc w:val="center"/>
        <w:rPr>
          <w:rFonts w:hint="eastAsia" w:ascii="方正小标宋简体" w:eastAsia="方正小标宋简体"/>
          <w:b/>
          <w:bCs/>
          <w:sz w:val="44"/>
          <w:szCs w:val="44"/>
        </w:rPr>
      </w:pPr>
    </w:p>
    <w:p>
      <w:pPr>
        <w:spacing w:afterLines="150"/>
        <w:jc w:val="center"/>
        <w:rPr>
          <w:rFonts w:hint="eastAsia" w:ascii="方正小标宋简体" w:eastAsia="方正小标宋简体"/>
          <w:b/>
          <w:bCs/>
          <w:sz w:val="44"/>
          <w:szCs w:val="44"/>
        </w:rPr>
      </w:pPr>
    </w:p>
    <w:p>
      <w:pPr>
        <w:spacing w:afterLines="150"/>
        <w:jc w:val="center"/>
        <w:rPr>
          <w:rFonts w:hint="eastAsia" w:ascii="方正小标宋简体" w:eastAsia="方正小标宋简体"/>
          <w:b/>
          <w:bCs/>
          <w:sz w:val="44"/>
          <w:szCs w:val="44"/>
        </w:rPr>
      </w:pPr>
    </w:p>
    <w:p>
      <w:pPr>
        <w:spacing w:afterLines="150"/>
        <w:jc w:val="center"/>
        <w:rPr>
          <w:rFonts w:hint="eastAsia" w:ascii="方正小标宋简体" w:eastAsia="方正小标宋简体"/>
          <w:b/>
          <w:bCs/>
          <w:sz w:val="44"/>
          <w:szCs w:val="44"/>
        </w:rPr>
      </w:pPr>
    </w:p>
    <w:p>
      <w:pPr>
        <w:spacing w:afterLines="150"/>
        <w:jc w:val="center"/>
        <w:rPr>
          <w:rFonts w:hint="eastAsia" w:ascii="方正小标宋简体" w:eastAsia="方正小标宋简体"/>
          <w:b/>
          <w:bCs/>
          <w:sz w:val="44"/>
          <w:szCs w:val="44"/>
        </w:rPr>
      </w:pPr>
    </w:p>
    <w:p>
      <w:pPr>
        <w:spacing w:line="560" w:lineRule="exact"/>
        <w:jc w:val="left"/>
        <w:rPr>
          <w:rFonts w:ascii="仿宋_GB2312" w:eastAsia="仿宋_GB2312"/>
          <w:sz w:val="28"/>
          <w:szCs w:val="28"/>
        </w:rPr>
      </w:pPr>
    </w:p>
    <w:sectPr>
      <w:headerReference r:id="rId3" w:type="default"/>
      <w:footerReference r:id="rId4" w:type="default"/>
      <w:pgSz w:w="11906" w:h="16838"/>
      <w:pgMar w:top="1247" w:right="1418" w:bottom="1247"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8235299"/>
      <w:docPartObj>
        <w:docPartGallery w:val="autotext"/>
      </w:docPartObj>
    </w:sdtPr>
    <w:sdtContent>
      <w:p>
        <w:pPr>
          <w:pStyle w:val="4"/>
          <w:jc w:val="center"/>
        </w:pPr>
        <w:r>
          <w:fldChar w:fldCharType="begin"/>
        </w:r>
        <w:r>
          <w:instrText xml:space="preserve"> PAGE   \* MERGEFORMAT </w:instrText>
        </w:r>
        <w:r>
          <w:fldChar w:fldCharType="separate"/>
        </w:r>
        <w:r>
          <w:rPr>
            <w:lang w:val="zh-CN"/>
          </w:rPr>
          <w:t>36</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2"/>
    <w:rsid w:val="0000609C"/>
    <w:rsid w:val="00023989"/>
    <w:rsid w:val="000258A0"/>
    <w:rsid w:val="00025ED2"/>
    <w:rsid w:val="000B6AE0"/>
    <w:rsid w:val="000D3E09"/>
    <w:rsid w:val="000F58FB"/>
    <w:rsid w:val="00165117"/>
    <w:rsid w:val="0017346A"/>
    <w:rsid w:val="001A7A36"/>
    <w:rsid w:val="001F5F62"/>
    <w:rsid w:val="00222AD3"/>
    <w:rsid w:val="00261182"/>
    <w:rsid w:val="0027614F"/>
    <w:rsid w:val="002F527E"/>
    <w:rsid w:val="003106D5"/>
    <w:rsid w:val="00363D0F"/>
    <w:rsid w:val="0037415B"/>
    <w:rsid w:val="00391D78"/>
    <w:rsid w:val="003C2663"/>
    <w:rsid w:val="003C7348"/>
    <w:rsid w:val="003D7AEF"/>
    <w:rsid w:val="00446CCD"/>
    <w:rsid w:val="00446DEE"/>
    <w:rsid w:val="004765B6"/>
    <w:rsid w:val="00480DD7"/>
    <w:rsid w:val="004E4F42"/>
    <w:rsid w:val="004F5FDB"/>
    <w:rsid w:val="005032C2"/>
    <w:rsid w:val="00551E76"/>
    <w:rsid w:val="00572EB5"/>
    <w:rsid w:val="00587C67"/>
    <w:rsid w:val="005A31BB"/>
    <w:rsid w:val="005B0584"/>
    <w:rsid w:val="005B58C8"/>
    <w:rsid w:val="005E4CF4"/>
    <w:rsid w:val="005E6808"/>
    <w:rsid w:val="005E71CC"/>
    <w:rsid w:val="0062613B"/>
    <w:rsid w:val="00663DD9"/>
    <w:rsid w:val="006714A3"/>
    <w:rsid w:val="0067771E"/>
    <w:rsid w:val="006849F8"/>
    <w:rsid w:val="0069367F"/>
    <w:rsid w:val="006B463C"/>
    <w:rsid w:val="006C5990"/>
    <w:rsid w:val="006D58D4"/>
    <w:rsid w:val="006E7780"/>
    <w:rsid w:val="006F0DE1"/>
    <w:rsid w:val="006F2278"/>
    <w:rsid w:val="00727F48"/>
    <w:rsid w:val="00762E29"/>
    <w:rsid w:val="00786577"/>
    <w:rsid w:val="007B3144"/>
    <w:rsid w:val="007C563F"/>
    <w:rsid w:val="007E2C14"/>
    <w:rsid w:val="007E5CDA"/>
    <w:rsid w:val="008200EB"/>
    <w:rsid w:val="00867ACE"/>
    <w:rsid w:val="008D3FB7"/>
    <w:rsid w:val="008E7107"/>
    <w:rsid w:val="008F2D89"/>
    <w:rsid w:val="008F5F33"/>
    <w:rsid w:val="0090394F"/>
    <w:rsid w:val="0091163E"/>
    <w:rsid w:val="009724BE"/>
    <w:rsid w:val="00973E49"/>
    <w:rsid w:val="009864FA"/>
    <w:rsid w:val="009B532D"/>
    <w:rsid w:val="009C6C4C"/>
    <w:rsid w:val="009D08A5"/>
    <w:rsid w:val="009E5FA3"/>
    <w:rsid w:val="009F09C1"/>
    <w:rsid w:val="00A83C94"/>
    <w:rsid w:val="00AC330A"/>
    <w:rsid w:val="00AD176B"/>
    <w:rsid w:val="00B03E5C"/>
    <w:rsid w:val="00B154A6"/>
    <w:rsid w:val="00B167C5"/>
    <w:rsid w:val="00B24987"/>
    <w:rsid w:val="00B4793D"/>
    <w:rsid w:val="00B65912"/>
    <w:rsid w:val="00BC51D7"/>
    <w:rsid w:val="00C34F06"/>
    <w:rsid w:val="00C9221A"/>
    <w:rsid w:val="00CB4990"/>
    <w:rsid w:val="00CE5F9A"/>
    <w:rsid w:val="00D94EA9"/>
    <w:rsid w:val="00DA04C8"/>
    <w:rsid w:val="00DE02A1"/>
    <w:rsid w:val="00E03085"/>
    <w:rsid w:val="00E23CDF"/>
    <w:rsid w:val="00E36F7E"/>
    <w:rsid w:val="00E46941"/>
    <w:rsid w:val="00E63B5E"/>
    <w:rsid w:val="00EA5E02"/>
    <w:rsid w:val="00EE4C3D"/>
    <w:rsid w:val="00F011BA"/>
    <w:rsid w:val="00F5174D"/>
    <w:rsid w:val="00F8548C"/>
    <w:rsid w:val="00FA7D1D"/>
    <w:rsid w:val="00FC3FA6"/>
    <w:rsid w:val="00FE17D6"/>
    <w:rsid w:val="056D11FA"/>
    <w:rsid w:val="29AB13AD"/>
    <w:rsid w:val="3D1A5FA4"/>
    <w:rsid w:val="4D582DDF"/>
    <w:rsid w:val="59E702D9"/>
    <w:rsid w:val="65817F87"/>
    <w:rsid w:val="7ACD6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340" w:after="330" w:line="576" w:lineRule="auto"/>
      <w:outlineLvl w:val="0"/>
    </w:pPr>
    <w:rPr>
      <w:b/>
      <w:bCs/>
      <w:kern w:val="44"/>
      <w:sz w:val="44"/>
      <w:szCs w:val="44"/>
    </w:rPr>
  </w:style>
  <w:style w:type="character" w:default="1" w:styleId="8">
    <w:name w:val="Default Paragraph Font"/>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6"/>
    <w:qFormat/>
    <w:uiPriority w:val="0"/>
    <w:rPr>
      <w:sz w:val="44"/>
      <w:szCs w:val="20"/>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page number"/>
    <w:basedOn w:val="8"/>
    <w:uiPriority w:val="0"/>
  </w:style>
  <w:style w:type="paragraph" w:customStyle="1" w:styleId="1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2">
    <w:name w:val="页脚 Char"/>
    <w:basedOn w:val="8"/>
    <w:link w:val="4"/>
    <w:qFormat/>
    <w:uiPriority w:val="99"/>
    <w:rPr>
      <w:kern w:val="2"/>
      <w:sz w:val="18"/>
      <w:szCs w:val="18"/>
    </w:rPr>
  </w:style>
  <w:style w:type="character" w:customStyle="1" w:styleId="13">
    <w:name w:val="标题 1 Char"/>
    <w:basedOn w:val="8"/>
    <w:link w:val="2"/>
    <w:qFormat/>
    <w:uiPriority w:val="0"/>
    <w:rPr>
      <w:b/>
      <w:bCs/>
      <w:kern w:val="44"/>
      <w:sz w:val="44"/>
      <w:szCs w:val="44"/>
    </w:rPr>
  </w:style>
  <w:style w:type="character" w:customStyle="1" w:styleId="14">
    <w:name w:val="页眉 Char"/>
    <w:basedOn w:val="8"/>
    <w:link w:val="5"/>
    <w:qFormat/>
    <w:uiPriority w:val="0"/>
    <w:rPr>
      <w:kern w:val="2"/>
      <w:sz w:val="18"/>
      <w:szCs w:val="18"/>
    </w:rPr>
  </w:style>
  <w:style w:type="character" w:customStyle="1" w:styleId="15">
    <w:name w:val="正文文本 Char"/>
    <w:basedOn w:val="8"/>
    <w:link w:val="3"/>
    <w:qFormat/>
    <w:uiPriority w:val="0"/>
    <w:rPr>
      <w:kern w:val="2"/>
      <w:sz w:val="44"/>
    </w:rPr>
  </w:style>
  <w:style w:type="character" w:customStyle="1" w:styleId="16">
    <w:name w:val="正文文本 Char1"/>
    <w:basedOn w:val="8"/>
    <w:link w:val="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A07E69-0D54-43C3-9198-87C1C3DEE75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36</Pages>
  <Words>2415</Words>
  <Characters>13768</Characters>
  <Lines>114</Lines>
  <Paragraphs>32</Paragraphs>
  <TotalTime>131</TotalTime>
  <ScaleCrop>false</ScaleCrop>
  <LinksUpToDate>false</LinksUpToDate>
  <CharactersWithSpaces>16151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2019-05-31T01:11:00Z</dcterms:created>
  <dc:creator>猪猪猫.CN</dc:creator>
  <cp:lastModifiedBy>HP</cp:lastModifiedBy>
  <cp:lastPrinted>2019-06-10T02:25:00Z</cp:lastPrinted>
  <dcterms:modified xsi:type="dcterms:W3CDTF">2019-06-19T03:50:20Z</dcterms:modified>
  <dc:title>南经贸〔2012〕6号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