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150"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Lines="150"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南安市工信局政务公开工作考评制度</w:t>
      </w:r>
    </w:p>
    <w:p>
      <w:pPr>
        <w:spacing w:line="520" w:lineRule="exact"/>
        <w:ind w:firstLine="707" w:firstLineChars="221"/>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第一条</w:t>
      </w:r>
      <w:r>
        <w:rPr>
          <w:rFonts w:hint="eastAsia" w:eastAsia="仿宋_GB2312"/>
          <w:sz w:val="32"/>
          <w:szCs w:val="32"/>
        </w:rPr>
        <w:t xml:space="preserve">   </w:t>
      </w:r>
      <w:r>
        <w:rPr>
          <w:rFonts w:hint="eastAsia" w:ascii="仿宋_GB2312" w:eastAsia="仿宋_GB2312"/>
          <w:sz w:val="32"/>
          <w:szCs w:val="32"/>
        </w:rPr>
        <w:t>为促进政府信息公开，加强各相关科室实施政府信息公开工作的监督考核和管理，保证工信局政府信息公开工作落到实处，结合我局工作实际，特制定本制度。</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第二条</w:t>
      </w:r>
      <w:r>
        <w:rPr>
          <w:rFonts w:hint="eastAsia" w:eastAsia="仿宋_GB2312"/>
          <w:sz w:val="32"/>
          <w:szCs w:val="32"/>
        </w:rPr>
        <w:t xml:space="preserve">   </w:t>
      </w:r>
      <w:r>
        <w:rPr>
          <w:rFonts w:hint="eastAsia" w:ascii="仿宋_GB2312" w:eastAsia="仿宋_GB2312"/>
          <w:sz w:val="32"/>
          <w:szCs w:val="32"/>
        </w:rPr>
        <w:t>考评工作坚持客观公正、民主公开、注重实效、促进工作的原则。</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第三条  局政府信息公开工作领导小组负责工信局政府信息公开考核的领导工作；领导小组办公室负责监督考核工作，研究、指导、部署和组织具体考核事项。</w:t>
      </w:r>
      <w:r>
        <w:rPr>
          <w:rFonts w:hint="eastAsia" w:eastAsia="仿宋_GB2312"/>
          <w:sz w:val="32"/>
          <w:szCs w:val="32"/>
        </w:rPr>
        <w:t> </w:t>
      </w:r>
      <w:bookmarkStart w:id="0" w:name="_GoBack"/>
      <w:bookmarkEnd w:id="0"/>
    </w:p>
    <w:p>
      <w:pPr>
        <w:spacing w:line="520" w:lineRule="exact"/>
        <w:ind w:firstLine="707" w:firstLineChars="221"/>
        <w:rPr>
          <w:rFonts w:ascii="仿宋_GB2312" w:eastAsia="仿宋_GB2312"/>
          <w:sz w:val="32"/>
          <w:szCs w:val="32"/>
        </w:rPr>
      </w:pPr>
      <w:r>
        <w:rPr>
          <w:rFonts w:hint="eastAsia" w:ascii="仿宋_GB2312" w:eastAsia="仿宋_GB2312"/>
          <w:sz w:val="32"/>
          <w:szCs w:val="32"/>
        </w:rPr>
        <w:t>第四条  考核对象主要是工信局政府信息公开工作各相关责任科室。</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第五条　考核的主要内容：</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（一）编制、报送本单位拟公开的政府信息情况；</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（二）维护、更新、发布本单位公开的政府信息情况；</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（三）对本单位拟公开的政府信息进行保密审查情况；</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（四）办理并答复依申请公开的政府信息情况；</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（五）协调确认本单位要公开的涉及其他行政机关的政府信息情况；</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（六）完成领导交办的与政府信息公开有关的事宜情况。</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第六条　考核的形式和方法：</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（一）日常检查。针对考核内容开展经常性监督检查工作，并及时填写考核情况记录，作为年终考核的重要依据。</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（二）季度检查。每季度针对考核内容开展监督检查工作，及时统计分析政府信息公开的事项、内容、数量，并进行通报。</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（三）年终考核。各科室对本科室年度内政府信息公开工作情况自评打分，考核小组综合日常检查、季度检查、单位自查的检查考核情况，提出评定意见，并向政府信息公开工作领导小组报告。</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第七条　考核结果的评定和运用：</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局政府信息公开工作领导小组根据各科室政府信息公开工作质量完成情况，做出最后评定，评定结果纳入年底个人绩效考评，并对考核结果予以通报，对未达工作要求的科室、个人提出整改意见，限期整改。</w:t>
      </w:r>
      <w:r>
        <w:rPr>
          <w:rFonts w:hint="eastAsia" w:eastAsia="仿宋_GB2312"/>
          <w:sz w:val="32"/>
          <w:szCs w:val="32"/>
        </w:rPr>
        <w:t> </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第八条　本制度由局政府信息公开工作领导小组办公室负责解释。</w:t>
      </w:r>
      <w:r>
        <w:rPr>
          <w:rFonts w:hint="eastAsia" w:eastAsia="仿宋_GB2312"/>
          <w:sz w:val="32"/>
          <w:szCs w:val="32"/>
        </w:rPr>
        <w:t> </w:t>
      </w:r>
    </w:p>
    <w:p>
      <w:pPr>
        <w:spacing w:line="520" w:lineRule="exact"/>
        <w:ind w:firstLine="707" w:firstLineChars="221"/>
        <w:jc w:val="left"/>
        <w:rPr>
          <w:rFonts w:eastAsia="仿宋_GB2312"/>
          <w:sz w:val="32"/>
          <w:szCs w:val="32"/>
        </w:rPr>
      </w:pPr>
      <w:r>
        <w:rPr>
          <w:rFonts w:hint="eastAsia" w:ascii="仿宋_GB2312" w:eastAsia="仿宋_GB2312"/>
          <w:sz w:val="32"/>
          <w:szCs w:val="32"/>
        </w:rPr>
        <w:t>第九条  本制度自发文之日起施行。</w:t>
      </w:r>
    </w:p>
    <w:p>
      <w:pPr>
        <w:spacing w:line="560" w:lineRule="exact"/>
        <w:ind w:right="480"/>
        <w:jc w:val="left"/>
        <w:rPr>
          <w:rFonts w:ascii="仿宋_GB2312" w:eastAsia="仿宋_GB2312"/>
          <w:sz w:val="32"/>
          <w:szCs w:val="32"/>
        </w:rPr>
      </w:pPr>
      <w:r>
        <w:rPr>
          <w:rFonts w:hint="eastAsia" w:ascii="仿宋_GB2312" w:eastAsia="仿宋_GB2312"/>
          <w:sz w:val="32"/>
          <w:szCs w:val="32"/>
        </w:rPr>
        <w:t xml:space="preserve">                              </w:t>
      </w: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ind w:right="480"/>
        <w:jc w:val="left"/>
        <w:rPr>
          <w:rFonts w:ascii="仿宋_GB2312" w:eastAsia="仿宋_GB2312"/>
          <w:sz w:val="32"/>
          <w:szCs w:val="32"/>
        </w:rPr>
      </w:pPr>
    </w:p>
    <w:p>
      <w:pPr>
        <w:spacing w:line="560" w:lineRule="exact"/>
        <w:jc w:val="left"/>
        <w:rPr>
          <w:rFonts w:ascii="仿宋_GB2312" w:eastAsia="仿宋_GB2312"/>
          <w:sz w:val="28"/>
          <w:szCs w:val="28"/>
        </w:rPr>
      </w:pPr>
    </w:p>
    <w:sectPr>
      <w:headerReference r:id="rId3" w:type="default"/>
      <w:footerReference r:id="rId4" w:type="default"/>
      <w:pgSz w:w="11906" w:h="16838"/>
      <w:pgMar w:top="1247"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235299"/>
      <w:docPartObj>
        <w:docPartGallery w:val="autotext"/>
      </w:docPartObj>
    </w:sdtPr>
    <w:sdtContent>
      <w:p>
        <w:pPr>
          <w:pStyle w:val="4"/>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2"/>
    <w:rsid w:val="0000609C"/>
    <w:rsid w:val="00023989"/>
    <w:rsid w:val="000258A0"/>
    <w:rsid w:val="00025ED2"/>
    <w:rsid w:val="000B6AE0"/>
    <w:rsid w:val="000D3E09"/>
    <w:rsid w:val="000F58FB"/>
    <w:rsid w:val="00165117"/>
    <w:rsid w:val="0017346A"/>
    <w:rsid w:val="001A7A36"/>
    <w:rsid w:val="001F5F62"/>
    <w:rsid w:val="00222AD3"/>
    <w:rsid w:val="00261182"/>
    <w:rsid w:val="0027614F"/>
    <w:rsid w:val="002F527E"/>
    <w:rsid w:val="003106D5"/>
    <w:rsid w:val="00363D0F"/>
    <w:rsid w:val="0037415B"/>
    <w:rsid w:val="00391D78"/>
    <w:rsid w:val="003C2663"/>
    <w:rsid w:val="003C7348"/>
    <w:rsid w:val="003D7AEF"/>
    <w:rsid w:val="00446CCD"/>
    <w:rsid w:val="00446DEE"/>
    <w:rsid w:val="004765B6"/>
    <w:rsid w:val="00480DD7"/>
    <w:rsid w:val="004E4F42"/>
    <w:rsid w:val="004F5FDB"/>
    <w:rsid w:val="005032C2"/>
    <w:rsid w:val="00551E76"/>
    <w:rsid w:val="00572EB5"/>
    <w:rsid w:val="00587C67"/>
    <w:rsid w:val="005A31BB"/>
    <w:rsid w:val="005B0584"/>
    <w:rsid w:val="005B58C8"/>
    <w:rsid w:val="005E4CF4"/>
    <w:rsid w:val="005E6808"/>
    <w:rsid w:val="005E71CC"/>
    <w:rsid w:val="0062613B"/>
    <w:rsid w:val="00663DD9"/>
    <w:rsid w:val="006714A3"/>
    <w:rsid w:val="0067771E"/>
    <w:rsid w:val="006849F8"/>
    <w:rsid w:val="0069367F"/>
    <w:rsid w:val="006B463C"/>
    <w:rsid w:val="006C5990"/>
    <w:rsid w:val="006D58D4"/>
    <w:rsid w:val="006E7780"/>
    <w:rsid w:val="006F0DE1"/>
    <w:rsid w:val="006F2278"/>
    <w:rsid w:val="00727F48"/>
    <w:rsid w:val="00762E29"/>
    <w:rsid w:val="00786577"/>
    <w:rsid w:val="007B3144"/>
    <w:rsid w:val="007C563F"/>
    <w:rsid w:val="007E2C14"/>
    <w:rsid w:val="007E5CDA"/>
    <w:rsid w:val="008200EB"/>
    <w:rsid w:val="00867ACE"/>
    <w:rsid w:val="008D3FB7"/>
    <w:rsid w:val="008E7107"/>
    <w:rsid w:val="008F2D89"/>
    <w:rsid w:val="008F5F33"/>
    <w:rsid w:val="0090394F"/>
    <w:rsid w:val="0091163E"/>
    <w:rsid w:val="009724BE"/>
    <w:rsid w:val="00973E49"/>
    <w:rsid w:val="009864FA"/>
    <w:rsid w:val="009B532D"/>
    <w:rsid w:val="009C6C4C"/>
    <w:rsid w:val="009D08A5"/>
    <w:rsid w:val="009E5FA3"/>
    <w:rsid w:val="009F09C1"/>
    <w:rsid w:val="00A83C94"/>
    <w:rsid w:val="00AC330A"/>
    <w:rsid w:val="00AD176B"/>
    <w:rsid w:val="00B03E5C"/>
    <w:rsid w:val="00B154A6"/>
    <w:rsid w:val="00B167C5"/>
    <w:rsid w:val="00B24987"/>
    <w:rsid w:val="00B4793D"/>
    <w:rsid w:val="00B65912"/>
    <w:rsid w:val="00BC51D7"/>
    <w:rsid w:val="00C34F06"/>
    <w:rsid w:val="00C9221A"/>
    <w:rsid w:val="00CB4990"/>
    <w:rsid w:val="00CE5F9A"/>
    <w:rsid w:val="00D94EA9"/>
    <w:rsid w:val="00DA04C8"/>
    <w:rsid w:val="00DE02A1"/>
    <w:rsid w:val="00E03085"/>
    <w:rsid w:val="00E23CDF"/>
    <w:rsid w:val="00E36F7E"/>
    <w:rsid w:val="00E46941"/>
    <w:rsid w:val="00E63B5E"/>
    <w:rsid w:val="00EA5E02"/>
    <w:rsid w:val="00EE4C3D"/>
    <w:rsid w:val="00F011BA"/>
    <w:rsid w:val="00F5174D"/>
    <w:rsid w:val="00F8548C"/>
    <w:rsid w:val="00FA7D1D"/>
    <w:rsid w:val="00FC3FA6"/>
    <w:rsid w:val="00FE17D6"/>
    <w:rsid w:val="056D11FA"/>
    <w:rsid w:val="0D3817DF"/>
    <w:rsid w:val="59E702D9"/>
    <w:rsid w:val="61F82FB7"/>
    <w:rsid w:val="65817F87"/>
    <w:rsid w:val="7ACD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8">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rPr>
      <w:sz w:val="44"/>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qFormat/>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
    <w:name w:val="页脚 Char"/>
    <w:basedOn w:val="8"/>
    <w:link w:val="4"/>
    <w:qFormat/>
    <w:uiPriority w:val="99"/>
    <w:rPr>
      <w:kern w:val="2"/>
      <w:sz w:val="18"/>
      <w:szCs w:val="18"/>
    </w:rPr>
  </w:style>
  <w:style w:type="character" w:customStyle="1" w:styleId="13">
    <w:name w:val="标题 1 Char"/>
    <w:basedOn w:val="8"/>
    <w:link w:val="2"/>
    <w:qFormat/>
    <w:uiPriority w:val="0"/>
    <w:rPr>
      <w:b/>
      <w:bCs/>
      <w:kern w:val="44"/>
      <w:sz w:val="44"/>
      <w:szCs w:val="44"/>
    </w:rPr>
  </w:style>
  <w:style w:type="character" w:customStyle="1" w:styleId="14">
    <w:name w:val="页眉 Char"/>
    <w:basedOn w:val="8"/>
    <w:link w:val="5"/>
    <w:qFormat/>
    <w:uiPriority w:val="0"/>
    <w:rPr>
      <w:kern w:val="2"/>
      <w:sz w:val="18"/>
      <w:szCs w:val="18"/>
    </w:rPr>
  </w:style>
  <w:style w:type="character" w:customStyle="1" w:styleId="15">
    <w:name w:val="正文文本 Char"/>
    <w:basedOn w:val="8"/>
    <w:link w:val="3"/>
    <w:qFormat/>
    <w:uiPriority w:val="0"/>
    <w:rPr>
      <w:kern w:val="2"/>
      <w:sz w:val="44"/>
    </w:rPr>
  </w:style>
  <w:style w:type="character" w:customStyle="1" w:styleId="16">
    <w:name w:val="正文文本 Char1"/>
    <w:basedOn w:val="8"/>
    <w:link w:val="3"/>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7E69-0D54-43C3-9198-87C1C3DEE7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2415</Words>
  <Characters>13768</Characters>
  <Lines>114</Lines>
  <Paragraphs>32</Paragraphs>
  <TotalTime>129</TotalTime>
  <ScaleCrop>false</ScaleCrop>
  <LinksUpToDate>false</LinksUpToDate>
  <CharactersWithSpaces>16151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2019-05-31T01:11:00Z</dcterms:created>
  <dc:creator>猪猪猫.CN</dc:creator>
  <cp:lastModifiedBy>HP</cp:lastModifiedBy>
  <cp:lastPrinted>2019-06-10T02:25:00Z</cp:lastPrinted>
  <dcterms:modified xsi:type="dcterms:W3CDTF">2019-06-19T04:00:31Z</dcterms:modified>
  <dc:title>南经贸〔2012〕6号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