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32"/>
          <w:szCs w:val="32"/>
        </w:rPr>
      </w:pPr>
    </w:p>
    <w:p>
      <w:pPr>
        <w:spacing w:line="600" w:lineRule="exact"/>
        <w:rPr>
          <w:sz w:val="28"/>
          <w:szCs w:val="28"/>
        </w:rPr>
      </w:pPr>
      <w:r>
        <w:rPr>
          <w:rFonts w:eastAsia="黑体"/>
          <w:sz w:val="32"/>
          <w:szCs w:val="32"/>
        </w:rPr>
        <w:t>附件</w:t>
      </w:r>
    </w:p>
    <w:p>
      <w:pPr>
        <w:spacing w:line="600" w:lineRule="exact"/>
        <w:jc w:val="center"/>
        <w:rPr>
          <w:rFonts w:eastAsia="方正小标宋简体"/>
          <w:bCs/>
          <w:sz w:val="36"/>
          <w:szCs w:val="36"/>
        </w:rPr>
      </w:pPr>
      <w:r>
        <w:rPr>
          <w:rFonts w:eastAsia="方正小标宋简体"/>
          <w:bCs/>
          <w:sz w:val="36"/>
          <w:szCs w:val="36"/>
        </w:rPr>
        <w:t>南安市</w:t>
      </w:r>
      <w:r>
        <w:rPr>
          <w:rFonts w:hint="eastAsia" w:eastAsia="方正小标宋简体"/>
          <w:bCs/>
          <w:sz w:val="36"/>
          <w:szCs w:val="36"/>
        </w:rPr>
        <w:t>2</w:t>
      </w:r>
      <w:r>
        <w:rPr>
          <w:rFonts w:eastAsia="方正小标宋简体"/>
          <w:bCs/>
          <w:sz w:val="36"/>
          <w:szCs w:val="36"/>
        </w:rPr>
        <w:t>月份环评文件编制质量清单</w:t>
      </w:r>
    </w:p>
    <w:p>
      <w:pPr>
        <w:spacing w:line="240" w:lineRule="auto"/>
        <w:jc w:val="center"/>
        <w:rPr>
          <w:rFonts w:eastAsia="方正小标宋简体"/>
          <w:bCs/>
          <w:sz w:val="24"/>
          <w:szCs w:val="24"/>
        </w:rPr>
      </w:pPr>
    </w:p>
    <w:tbl>
      <w:tblPr>
        <w:tblStyle w:val="4"/>
        <w:tblW w:w="16044"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550"/>
        <w:gridCol w:w="870"/>
        <w:gridCol w:w="1276"/>
        <w:gridCol w:w="1291"/>
        <w:gridCol w:w="1294"/>
        <w:gridCol w:w="1176"/>
        <w:gridCol w:w="750"/>
        <w:gridCol w:w="931"/>
        <w:gridCol w:w="695"/>
        <w:gridCol w:w="734"/>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序号</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项目名称</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所属行业类别</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建设单位</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建设地点</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审批日期</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审批文号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环评类型</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环评单位</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负责人</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质量评分</w:t>
            </w:r>
          </w:p>
        </w:tc>
        <w:tc>
          <w:tcPr>
            <w:tcW w:w="394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环评质量存在的</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南安市瑞通岗石工艺有限公司年增产卫生洁具（洗衣槽）3万套项目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C3062</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南安市瑞通岗石工艺有限公司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南安市官桥镇漳里村（洪邦工业区）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2024/2/1</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泉南环评〔2024〕表17号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泉州市绿尚环保科技有限公司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刘玉</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61</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1.坐标偏差大，补充规划符合性分析。                                                                        2.补充原项目排污许可证执行情况、排放情况；核实扩建前后的“三本帐”。                                                                  3.核实项目特征因子种类及现状情况。                                                             4.补充类比分析的可行性；废气产排量核算错误。                                                               5.进一步补充农灌的可行性分析。                                                                                   6.部分原辅料遗漏，环境风险识别有遗漏，对应的风险防范措施及土壤分区管控要求不完整。                                                               7.进一步核实项目建设内容，与文本分析存在出入。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福建省阔展建设发展有限公司年产栏杆60万米、幕墙门窗10万平方米项目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C3312</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福建省阔展建设发展有限公司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福建省泉州市南安市成功街2202号</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2024/2/1</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泉南环评〔2024〕表18号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深圳市龙辉环保服务有限公司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尚艳红</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70</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福建省南安市博磊石业有限公司年总产花岗岩石板材22万平方米、异形板材8000立方米项目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C3032</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福建省南安市博磊石业有限公司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南安市石井镇滨海石材加工集中区（石井镇下房村）</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2024/2/1</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泉南环评〔2024〕表19号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深圳云思环境科技有限公司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战友</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61</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1.文本内容前后不一（核实全文生活污水处理情况及排放去向）。                                                              2.扩建前项目情况分析中对现有工程主要污染防治设施调查不充分（处理能力、建设运行情况等）。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福建省恒天福家居用品有限公司年生产一次性胶杯（碗）900吨、保鲜袋300吨、垃圾袋300吨、纸箱60万平方米项目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C2923</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C2927</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C2231</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福建省恒天福家居用品有限公司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福建省泉州市南安市柳城街道露江村露江工业路32号</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泉南环评〔2024〕表20号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深圳云思环境科技有限公司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战友</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65</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1.建设项目基本情况表中补充项目备案情况。                                                   2.p13工作制度明确夜间是否生产；p39项目不存在金属边角料，请核实。                                                          3.排污口规范化建设补充排污口标志牌；附件补充水性漆的成分报告。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5"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福建省华川消防科技有限公司年产消防水带60万米项目</w:t>
            </w:r>
          </w:p>
        </w:tc>
        <w:tc>
          <w:tcPr>
            <w:tcW w:w="870" w:type="dxa"/>
            <w:shd w:val="clear" w:color="auto" w:fill="auto"/>
            <w:vAlign w:val="center"/>
          </w:tcPr>
          <w:p>
            <w:pPr>
              <w:widowControl/>
              <w:spacing w:after="24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C3353 C2292 C2912 D4430</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福建省华川消防科技有限公司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南安市省新镇福源路159号（扶茂工业区）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2024/2/4</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泉南环评〔2024〕表21号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泉州市蓝天环保科技有限公司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王慧丽</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63</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1.核实项目在城乡规划图中的位置；核实硫化台的用途。                                                                     2.补充二辛的理化性质。                                                                 3.核实废气排放标准。                                                                          4.论证收集效率90%的可行性，细化衬胶废气的封闭措施，论证活性炭处理效率70%的可行性。                                                                5.明确区域管网的建设情况及本项目的接驳情况。                                                                      6.补充固废的产排依据；重新估算废活性炭产生量。                                                      7.涉及致畸及含有VOCs的原料，应完善原料储存场地的环境管理要求及防渗防漏要求。                                                                                        8.补充完善环境风险分析章节。                                               9.补充总量承诺函。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5"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泉州金交椅建材有限公司年加工瓷砖制品5万平方米项目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C3079</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泉州金交椅建材有限公司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南安市官桥镇西庄村下庄526号（泉州经济开发区官桥园区）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2024/2/6</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泉南环评〔2024〕表22号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福建九邦环境检测科研有限公司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林婉婷</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65</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1.核实项目的国民经济代码及环评编制依据。                                                             2.进一步补充与官桥园区产业定位及规划环评的符合性分析；是否涉及金交椅历史文物保护区？                                                  3.官桥园区再生水厂一期已建成，请充分调查污水处理厂、区域管网的建设情况及项目管网的接驳情况；无法接入的应进一步论证农灌的可行性。                                               4.废气应严格控制无组织排放，遗漏对厂区无组织的监控要求；进一步论证“湿法作业可实现基本无废气排放”的合理性；建议按《大气有害物质无组织排放卫生防护距离推导技术导则》规范设置卫生防护距离，避免对周边的影响。                                                                                   5.建筑面积与租赁合同不一致。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7</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南安市福丽德水性新材料技术有限公司年产400t水性油墨（单纯混合分装）、2500t塑料膜项目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C2642</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C2921</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南安市福丽德水性新材料技术有限公司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南安市水头镇仁福村大埔78号（仁福石材加工集中区）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2024/2/7</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泉南环评〔2024〕表23号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深圳市佳航环保科技有限公司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王近近</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60</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1.项目设备清单应结合项目所属行业的排污许可申请与核发技术规范的设备填报要求，补充相应的设备参数，并核算设备与产能的匹配性。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2.核实水性油墨印刷过程印刷机是否有清洗废水产生，补充自用油墨空桶清洗废水产生、处理及回用情况。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3.明确拟采用的活性炭参数，核实吸附容量，根据污染源强核实结果计算废活性炭产生量。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4.补充完善固废暂存场所面积及接纳贮存能力分析的相关内容。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5.核实完善环境保护措施监督检查清单。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8</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南安市零度新材料科技有限公司年产800吨纸管项目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C2239</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南安市零度新材料科技有限公司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福建省泉州市南安市诗山镇报恩工业区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2024/2/9</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泉南环评〔2024〕表24号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泉州市华大环境保护研究院有限公司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陈文强</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62</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1.环境质量现状仍引用2021年度环境质量分析报告，应更新为2022年度的质量情况。                                                                       2.项目地理坐标有误，请更正并在附图中补充“三线一单”管控单元截图。                                                                              3.项目编制时长超三个月，应提供情况说明。                                                                                                4.水平衡数据分析有误，请核实。                                                                        5.p11、p13、p23原辅材料品种和用量不一致，请进行明确后分析。                                                                                             6.项目未提供项目纸管胶相应检测报告，废气污染源强不能直接引用《胶粘剂挥发性有机化合物限值》VOC含量限值核算。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9</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福建南安市连天红石业有限公司年增产大理石板材32万平方米、异形石材10万平方米项目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C3032</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福建南安市连天红石业有限公司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南安市官桥镇前梧工业区（山前85号）（官桥南联石材加工集中区）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2024/2/18</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泉南环评〔2024〕表25号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泉州环兴环保科技有限公司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林芳淼</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61</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1.核实用胶量和有机废气污染源强。</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2.核实生产工艺、用气量和污染源强。</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3.完善生产废水处理措施和依托可行性分析。</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4.补充扩建前后全厂污染物排放“三本帐”表格和分析内容。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10</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福建省南安市飞力岗石有限公司年总产花岗岩石板材35万平方米、大理石工程板10万平方米、异形石材2万平方米项目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C3032</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福建省南安市飞力岗石有限公司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南安市石井镇后店村中路北片370号（滨海石材加工集中区）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2024/2/20</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泉南环评〔2024〕表26号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泉州环兴环保科技有限公司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林芳淼</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70</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11</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南安顺泰鞋材有限公司年产EVA鞋底400吨、TPR鞋底300吨项目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C1953</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南安顺泰鞋材有限公司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南安市雪峰华侨经济开发区侨峰路8号</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2024/2/21</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泉南环评〔2024〕表27号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福建省朗洁环保科技有限公司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黄文科</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62</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1.补充规划情况。                                                                     2.应明确熔融、注塑成型的温度；根据EVA、TPR、POE的组成成分确定其污染因子，对应的排放标准应一并核实；厂区内无组织执行GB37822-2019的限值要求。                                                                                        3.文本提及“配料粉尘自然沉降于车间内，无需收集”，应论证其合理性；落实无组织的管控措施；补充收集处理的封闭措施，二级活性炭65%的合理性，卫生防护距离是否合理？                                                          4.进一步论证污水处理设施依托的可行性。                                                     5.废活性炭产排量核算错误；风险识别遗漏危废的风险识别及防治措施。                                                     6.核实表格数据，部分有遗漏；补充原项目VOCs的调剂情况。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12</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泉州市宝中环保科技有限公司年回收加工炉渣30万吨项目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N7723</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泉州市宝中环保科技有限公司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南安市洪濑镇谯琉村东头围61号</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2024/2/22</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泉南环评〔2024〕表28号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深圳云思环境科技有限公司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战友</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63</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1.明确物料来源（合法性）。                                                                       2.调查核实生活污水去向，论证方案可行性；补充厂区初期雨水收集处置措施。                                                                              3.完善废气污染防治措施、规范排气筒设置。                                                                                                4.加强运输车辆管理，规划路线，规避水源保护区。                                                                                            5.完善环境风险防范措施，杜绝水源保护区突发环境风险事故。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5"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13</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福建南安市新三星石业有限公司年总产花岗岩石板材25万平方米、大理石板材17万平方米、异形石材3万平方米项目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C3032</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福建南安市新三星石业有限公司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南安市水头镇蟠龙开发区蟠龙大道1号（福山石材加工集中区）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2024/2/22</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泉南环评〔2024〕表29号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泉州环兴环保科技有限公司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林芳淼</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63</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1、原辅材料应补充絮凝剂（生产工艺有表述）。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2、原有人造生产线拆除进度应调查，拆除时的环保措施应纳入施工期环保措施内容中，补充新设备安装等工程设施的施工期环保措施内容。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3、细化3个产品生产流程的产污环节分析和特征因子。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4、完善工程组成，说明车间、仓库、固废堆场的规模。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5、根据不饱和树脂胶的MSDS及成分比例，需明确成分中挥发性有机物的含量，识别刷胶过程产生的特征污染因子。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6、正确使用NMHC的现状评价标准开展大气现状评价。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7、核实生产水的损耗量和损耗去向，浇灌工程方案应纳入环保措施监督检查清单。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8、根据高噪声设备数量、空间分布（三维坐标）和工作特点，核实产生强度，核实声环境影响分析结果。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10、完善排放总量汇总表。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14</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南安市瑞恒包装制品有限公司年增产热转印膜800万平方米项目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C2319</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南安市瑞恒包装制品有限公司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南安市洪濑镇葵山村18号</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2024/2/22</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泉南环评〔2024〕表30号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泉州市绿尚环保科技有限公司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刘玉</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61</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1.核实生活污水处理措施及去向（环评调查情况与现有工程验收结论不一致）。                                                            2.补充现有工程达标排放监测结果（或竣工验收监测数据）。                                              3.论证现有工程废气达标排放情况（现有企业应自2019年1月1日起执行DB35/1784-2018《印刷行业挥发性有机物排放标准》）。                                      4.补充完善扩建前VOCS排放总量来源。                                         5.补充调查现有工程环评批复环境防护距离落实情况，结合扩建工程核实扩建后项目环境防护距离要求。                                                           6.核实环境风险源（综合考虑扩建后整体项目），完善环境风险防范、应急处置措施。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15</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福建省贵峰消防科技有限公司年产消防水带1250万米、消防给水设备产品69.5万个、喷水灭火设备产品70.45万个项目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C2922 C3359 C3443 C3595</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福建省贵峰消防科技有限公司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南安市美林街道西美村竖旗187号</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2024/2/23</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泉南环评〔2024〕表31号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泉州市华大环境保护研究院有限公司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陈虹丽</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69</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1.针对存在的环保问题，补充完善“以新带老”工程相关内容。                                                                                          2.文本错别字修改P6。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16</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福建省南安市塔星石材有限公司年总产花岗岩石板材36.5万平方米、大理石石板材40平方米、异形石板材10万平方米、线条8000米项目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C3032</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福建省南安市塔星石材有限公司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南安市水头镇朴一村解放路292号（复线石材加工集中区）</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2024/2/26</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泉南环评〔2024〕表32号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深圳云思环境科技有限公司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战友</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62</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1、完善工程组成，分析本次扩建保留或依托扩建前的工程设施，并分析依托的可行性，如沉淀池、活性炭装置、固废贮存场、车间规模等。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2、根据不饱和树脂胶的MSDS及成分比例，需明确成分中挥发性有机物的含量，识别刷胶过程产生的特征污染因子。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3、细化4个产品生产流程的产污环节分析和特征因子。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4、补充旧设备拆除和新设备安装等工程设施的施工期环保措施内容。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5、说明刷胶、贴网和烘干区独立密闭的方式，分析废气收集效率达到80%的合理性；通过湿法加工的粉尘废气排放、作业台围挡、集气方式等特点，交代粉尘废气的收集率，核实粉尘无组织排放量；综合上述情况深化废气处理的可行性分析；活性炭吸附装置应明确活性炭的碘值，根据核实后有机废气排放量核实活性炭装填量补充台账记录等要求。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6、核实生产水的损耗量和损耗去向，浇灌工程方案应纳入环保措施监督检查清单。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7、根据高噪声设备数量和工作特点，核实产生强度（P42除了烘干线，其他噪声设备产生强度全部一样），核实声环境影响分析结果。                           </w:t>
            </w:r>
            <w:r>
              <w:rPr>
                <w:rFonts w:hint="default" w:ascii="Times New Roman" w:hAnsi="Times New Roman" w:eastAsia="仿宋" w:cs="Times New Roman"/>
                <w:kern w:val="0"/>
                <w:sz w:val="24"/>
              </w:rPr>
              <w:br w:type="textWrapping"/>
            </w:r>
            <w:r>
              <w:rPr>
                <w:rFonts w:hint="default" w:ascii="Times New Roman" w:hAnsi="Times New Roman" w:eastAsia="仿宋" w:cs="Times New Roman"/>
                <w:kern w:val="0"/>
                <w:sz w:val="24"/>
              </w:rPr>
              <w:t xml:space="preserve">8、完善排放总量汇总表。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17</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泉州市华谊卫浴科技有限公司年产50万个塑料水箱（马桶水箱）项目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C2927</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泉州市华谊卫浴科技有限公司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南安市仑苍镇高新技术园南路299-8号</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2024/2/29</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泉南环评〔2024〕表33号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深圳云思环境科技有限公司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战友</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63</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1.建设地址与营业执照不一致。                                                                    2.特征因子现状情况未引用（监测），应明确其依据；排放标准执行错误。                                                                   3.核实下料过程是否存在颗粒物？热转印废气排放量小的论证不充分；废边角料中包含POM，其破碎废气直接采用PP产污系数的依据不足；建议污染物名称统一。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5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18</w:t>
            </w:r>
          </w:p>
        </w:tc>
        <w:tc>
          <w:tcPr>
            <w:tcW w:w="25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泉州永盛汽车部件制造有限公司年产汽车配件（摆臂、牵引臂）60万件项目</w:t>
            </w:r>
          </w:p>
        </w:tc>
        <w:tc>
          <w:tcPr>
            <w:tcW w:w="87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C3670</w:t>
            </w:r>
          </w:p>
        </w:tc>
        <w:tc>
          <w:tcPr>
            <w:tcW w:w="12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泉州永盛汽车部件制造有限公司</w:t>
            </w:r>
          </w:p>
        </w:tc>
        <w:tc>
          <w:tcPr>
            <w:tcW w:w="129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南安市霞美镇金河大道20-18号（南安市滨江机械装备制造基地）</w:t>
            </w:r>
          </w:p>
        </w:tc>
        <w:tc>
          <w:tcPr>
            <w:tcW w:w="129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2024/2/29</w:t>
            </w:r>
          </w:p>
        </w:tc>
        <w:tc>
          <w:tcPr>
            <w:tcW w:w="1176"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泉南环评〔2024〕表34号</w:t>
            </w:r>
          </w:p>
        </w:tc>
        <w:tc>
          <w:tcPr>
            <w:tcW w:w="750"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报告表</w:t>
            </w:r>
          </w:p>
        </w:tc>
        <w:tc>
          <w:tcPr>
            <w:tcW w:w="931"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泉州市绿尚环保科技有限公司</w:t>
            </w:r>
          </w:p>
        </w:tc>
        <w:tc>
          <w:tcPr>
            <w:tcW w:w="695"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刘玉</w:t>
            </w:r>
          </w:p>
        </w:tc>
        <w:tc>
          <w:tcPr>
            <w:tcW w:w="734" w:type="dxa"/>
            <w:shd w:val="clear" w:color="auto" w:fill="auto"/>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68</w:t>
            </w:r>
          </w:p>
        </w:tc>
        <w:tc>
          <w:tcPr>
            <w:tcW w:w="3946" w:type="dxa"/>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1.核实固废污染因子及管理要求。                                  2.完善振动影响控制标准。</w:t>
            </w:r>
          </w:p>
        </w:tc>
      </w:tr>
    </w:tbl>
    <w:p>
      <w:pPr>
        <w:spacing w:line="600" w:lineRule="exact"/>
        <w:jc w:val="center"/>
        <w:rPr>
          <w:rFonts w:eastAsia="仿宋_GB2312"/>
          <w:b/>
          <w:sz w:val="36"/>
          <w:szCs w:val="36"/>
        </w:rPr>
      </w:pPr>
    </w:p>
    <w:p>
      <w:pPr>
        <w:spacing w:line="600" w:lineRule="exact"/>
        <w:rPr>
          <w:rFonts w:eastAsia="仿宋_GB2312"/>
          <w:b/>
          <w:sz w:val="36"/>
          <w:szCs w:val="36"/>
        </w:rPr>
        <w:sectPr>
          <w:headerReference r:id="rId3" w:type="default"/>
          <w:footerReference r:id="rId5" w:type="default"/>
          <w:headerReference r:id="rId4" w:type="even"/>
          <w:footerReference r:id="rId6" w:type="even"/>
          <w:pgSz w:w="16838" w:h="11906" w:orient="landscape"/>
          <w:pgMar w:top="1474" w:right="249" w:bottom="1474" w:left="238" w:header="851" w:footer="992" w:gutter="0"/>
          <w:cols w:space="720" w:num="1"/>
          <w:docGrid w:type="lines" w:linePitch="315" w:charSpace="0"/>
        </w:sect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bookmarkStart w:id="0" w:name="_GoBack"/>
      <w:bookmarkEnd w:id="0"/>
    </w:p>
    <w:p>
      <w:pPr>
        <w:spacing w:line="600" w:lineRule="exact"/>
        <w:rPr>
          <w:rFonts w:eastAsia="仿宋_GB2312"/>
          <w:b/>
          <w:sz w:val="36"/>
          <w:szCs w:val="36"/>
        </w:rPr>
      </w:pPr>
    </w:p>
    <w:p>
      <w:pPr>
        <w:spacing w:line="500" w:lineRule="exact"/>
        <w:ind w:firstLine="210" w:firstLineChars="100"/>
      </w:pPr>
    </w:p>
    <w:sectPr>
      <w:headerReference r:id="rId9" w:type="first"/>
      <w:headerReference r:id="rId7" w:type="default"/>
      <w:footerReference r:id="rId10" w:type="default"/>
      <w:headerReference r:id="rId8" w:type="even"/>
      <w:footerReference r:id="rId11" w:type="even"/>
      <w:type w:val="evenPage"/>
      <w:pgSz w:w="11906" w:h="16838"/>
      <w:pgMar w:top="249" w:right="1474" w:bottom="238" w:left="1474"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E79F9C-8A77-44D0-A2B2-814AAE5692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211365E-A47F-4D9A-85A4-5A9913AAEF6F}"/>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AC0B3E18-820E-4CE9-BEE5-C10F5FC9F04A}"/>
  </w:font>
  <w:font w:name="仿宋_GB2312">
    <w:panose1 w:val="02010609030101010101"/>
    <w:charset w:val="86"/>
    <w:family w:val="modern"/>
    <w:pitch w:val="default"/>
    <w:sig w:usb0="00000001" w:usb1="080E0000" w:usb2="00000000" w:usb3="00000000" w:csb0="00040000" w:csb1="00000000"/>
    <w:embedRegular r:id="rId4" w:fontKey="{CDE017E6-888B-48EB-9756-BEE61BB0C8F6}"/>
  </w:font>
  <w:font w:name="仿宋">
    <w:panose1 w:val="02010609060101010101"/>
    <w:charset w:val="86"/>
    <w:family w:val="auto"/>
    <w:pitch w:val="default"/>
    <w:sig w:usb0="800002BF" w:usb1="38CF7CFA" w:usb2="00000016" w:usb3="00000000" w:csb0="00040001" w:csb1="00000000"/>
    <w:embedRegular r:id="rId5" w:fontKey="{F10CDF4A-C70D-4C7A-8ACC-16D028402422}"/>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28"/>
        <w:tab w:val="right" w:pos="16471"/>
      </w:tabs>
      <w:jc w:val="left"/>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t xml:space="preserve">— </w:t>
                          </w:r>
                          <w:r>
                            <w:fldChar w:fldCharType="begin"/>
                          </w:r>
                          <w:r>
                            <w:instrText xml:space="preserve"> PAGE  \* MERGEFORMAT </w:instrText>
                          </w:r>
                          <w:r>
                            <w:fldChar w:fldCharType="separate"/>
                          </w:r>
                          <w:r>
                            <w:t>14</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14</w:t>
                    </w:r>
                    <w:r>
                      <w:fldChar w:fldCharType="end"/>
                    </w:r>
                    <w: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2"/>
                    </w:pPr>
                  </w:p>
                </w:txbxContent>
              </v:textbox>
            </v:shape>
          </w:pict>
        </mc:Fallback>
      </mc:AlternateContent>
    </w:r>
    <w:r>
      <w:rPr>
        <w:rFonts w:hint="eastAsia"/>
      </w:rPr>
      <w:tab/>
    </w:r>
    <w:r>
      <w:rPr>
        <w:rFonts w:hint="eastAsia"/>
      </w:rPr>
      <w:tab/>
    </w:r>
    <w:r>
      <w:rPr>
        <w:rFonts w:hint="eastAsia"/>
      </w:rPr>
      <w:tab/>
    </w:r>
    <w:r>
      <w:rPr>
        <w:rFonts w:hint="eastAsia"/>
      </w:rPr>
      <w:tab/>
    </w:r>
  </w:p>
  <w:p>
    <w:pPr>
      <w:pStyle w:val="2"/>
      <w:ind w:right="1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2"/>
                      <w:jc w:val="cente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fill on="f" focussize="0,0"/>
              <v:stroke on="f"/>
              <v:imagedata o:title=""/>
              <o:lock v:ext="edit" aspectratio="f"/>
              <v:textbox inset="0mm,0mm,0mm,0mm" style="mso-fit-shape-to-text:t;">
                <w:txbxContent>
                  <w:p>
                    <w:pPr>
                      <w:pStyle w:val="2"/>
                      <w:jc w:val="center"/>
                    </w:pP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t xml:space="preserve">— </w:t>
                          </w:r>
                          <w:r>
                            <w:fldChar w:fldCharType="begin"/>
                          </w:r>
                          <w:r>
                            <w:instrText xml:space="preserve"> PAGE  \* MERGEFORMAT </w:instrText>
                          </w:r>
                          <w:r>
                            <w:fldChar w:fldCharType="separate"/>
                          </w:r>
                          <w:r>
                            <w:t>20</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HrXp80BAACp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w1twjVnTlh68fPPH+dff86/vzOK&#10;kUB9wIrqHgJVxuGDH6h4jiMFE++hBZu+xIhRnuQ9XeRVQ2QyXVotV6uSUpJys0P4xeP1ABg/Km9Z&#10;MmoO9H5ZVnG8wziWziWpm/O32pj8hsb9FyDMMaLyEky3E5Nx4mTFYTdM9Ha+ORG7nhah5o72njPz&#10;yZHOaWdmA2ZjNxuHAHrf5aVK3TG8P0QaKU+aOoywxDA59IKZ67RtaUX+9XPV4x+2+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HrXp80BAACpAwAADgAAAAAAAAABACAAAAAeAQAAZHJzL2Uy&#10;b0RvYy54bWxQSwUGAAAAAAYABgBZAQAAXQU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912b80BAACpAwAADgAAAAAAAAABACAAAAAeAQAAZHJzL2Uy&#10;b0RvYy54bWxQSwUGAAAAAAYABgBZAQAAXQUAAAAA&#10;">
              <v:fill on="f" focussize="0,0"/>
              <v:stroke on="f"/>
              <v:imagedata o:title=""/>
              <o:lock v:ext="edit" aspectratio="f"/>
              <v:textbox inset="0mm,0mm,0mm,0mm" style="mso-fit-shape-to-text:t;">
                <w:txbxConten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TExZTlkODAyNWI1ZTk4OTAyZTM3M2U0MmQyM2EifQ=="/>
  </w:docVars>
  <w:rsids>
    <w:rsidRoot w:val="00FE2CC9"/>
    <w:rsid w:val="000163B3"/>
    <w:rsid w:val="000175C0"/>
    <w:rsid w:val="00030F22"/>
    <w:rsid w:val="00043FD1"/>
    <w:rsid w:val="0005264A"/>
    <w:rsid w:val="00052E87"/>
    <w:rsid w:val="000726E6"/>
    <w:rsid w:val="00075FD5"/>
    <w:rsid w:val="0008215C"/>
    <w:rsid w:val="00082B52"/>
    <w:rsid w:val="000856F4"/>
    <w:rsid w:val="00090328"/>
    <w:rsid w:val="0009154A"/>
    <w:rsid w:val="00092B9F"/>
    <w:rsid w:val="000A6092"/>
    <w:rsid w:val="000B1F88"/>
    <w:rsid w:val="000C0F27"/>
    <w:rsid w:val="000C182F"/>
    <w:rsid w:val="000D0FD3"/>
    <w:rsid w:val="000D3C5F"/>
    <w:rsid w:val="000D4DE3"/>
    <w:rsid w:val="000D7D3E"/>
    <w:rsid w:val="000E3B7E"/>
    <w:rsid w:val="000E5EA1"/>
    <w:rsid w:val="000F40D6"/>
    <w:rsid w:val="000F4D9B"/>
    <w:rsid w:val="001057C6"/>
    <w:rsid w:val="00110681"/>
    <w:rsid w:val="00110B66"/>
    <w:rsid w:val="00115C0A"/>
    <w:rsid w:val="001163AD"/>
    <w:rsid w:val="001204F4"/>
    <w:rsid w:val="001408FC"/>
    <w:rsid w:val="001646DC"/>
    <w:rsid w:val="00165AED"/>
    <w:rsid w:val="00165DC2"/>
    <w:rsid w:val="00183BAA"/>
    <w:rsid w:val="00187176"/>
    <w:rsid w:val="001A4DC1"/>
    <w:rsid w:val="001B4658"/>
    <w:rsid w:val="001F49F0"/>
    <w:rsid w:val="00202B57"/>
    <w:rsid w:val="00203C49"/>
    <w:rsid w:val="0020445B"/>
    <w:rsid w:val="00205C3F"/>
    <w:rsid w:val="002165C2"/>
    <w:rsid w:val="002203D8"/>
    <w:rsid w:val="00247051"/>
    <w:rsid w:val="00263491"/>
    <w:rsid w:val="00270A27"/>
    <w:rsid w:val="00273450"/>
    <w:rsid w:val="00280AF4"/>
    <w:rsid w:val="002945E9"/>
    <w:rsid w:val="0029534C"/>
    <w:rsid w:val="002957D0"/>
    <w:rsid w:val="00296ACF"/>
    <w:rsid w:val="00296EA4"/>
    <w:rsid w:val="002A4327"/>
    <w:rsid w:val="002B0204"/>
    <w:rsid w:val="002B254B"/>
    <w:rsid w:val="002B27B2"/>
    <w:rsid w:val="002D116A"/>
    <w:rsid w:val="002D336E"/>
    <w:rsid w:val="002D4924"/>
    <w:rsid w:val="002F1480"/>
    <w:rsid w:val="002F2C0F"/>
    <w:rsid w:val="00312119"/>
    <w:rsid w:val="003453A4"/>
    <w:rsid w:val="00346973"/>
    <w:rsid w:val="0035407F"/>
    <w:rsid w:val="003634B7"/>
    <w:rsid w:val="003642BD"/>
    <w:rsid w:val="00366B11"/>
    <w:rsid w:val="00367F9A"/>
    <w:rsid w:val="003779B3"/>
    <w:rsid w:val="00382E24"/>
    <w:rsid w:val="00386E47"/>
    <w:rsid w:val="00394DE0"/>
    <w:rsid w:val="003959C1"/>
    <w:rsid w:val="003B085D"/>
    <w:rsid w:val="003C4C43"/>
    <w:rsid w:val="003C5B01"/>
    <w:rsid w:val="003C6FA4"/>
    <w:rsid w:val="003D54CC"/>
    <w:rsid w:val="003D557C"/>
    <w:rsid w:val="003D6220"/>
    <w:rsid w:val="003E1999"/>
    <w:rsid w:val="003E5B04"/>
    <w:rsid w:val="00417F7F"/>
    <w:rsid w:val="00421DD9"/>
    <w:rsid w:val="00424BFC"/>
    <w:rsid w:val="004300E7"/>
    <w:rsid w:val="00460595"/>
    <w:rsid w:val="0046083F"/>
    <w:rsid w:val="004716D1"/>
    <w:rsid w:val="00473BE1"/>
    <w:rsid w:val="004748A8"/>
    <w:rsid w:val="004966AF"/>
    <w:rsid w:val="004B62DC"/>
    <w:rsid w:val="004D686C"/>
    <w:rsid w:val="004E512C"/>
    <w:rsid w:val="004E5C44"/>
    <w:rsid w:val="004E5DC6"/>
    <w:rsid w:val="004E64D6"/>
    <w:rsid w:val="004E66B7"/>
    <w:rsid w:val="004F375B"/>
    <w:rsid w:val="00502CF9"/>
    <w:rsid w:val="00503804"/>
    <w:rsid w:val="00504266"/>
    <w:rsid w:val="005177DA"/>
    <w:rsid w:val="00521120"/>
    <w:rsid w:val="005242AA"/>
    <w:rsid w:val="00524C8C"/>
    <w:rsid w:val="00526360"/>
    <w:rsid w:val="00531C78"/>
    <w:rsid w:val="00537F71"/>
    <w:rsid w:val="00542C62"/>
    <w:rsid w:val="005435CD"/>
    <w:rsid w:val="00567F38"/>
    <w:rsid w:val="00593818"/>
    <w:rsid w:val="005C3C2A"/>
    <w:rsid w:val="005F00A0"/>
    <w:rsid w:val="005F638E"/>
    <w:rsid w:val="00600E2F"/>
    <w:rsid w:val="006019CF"/>
    <w:rsid w:val="00611452"/>
    <w:rsid w:val="0061179E"/>
    <w:rsid w:val="00621651"/>
    <w:rsid w:val="00634D02"/>
    <w:rsid w:val="00637FDC"/>
    <w:rsid w:val="00640D7B"/>
    <w:rsid w:val="00651E2D"/>
    <w:rsid w:val="00651EE9"/>
    <w:rsid w:val="00652088"/>
    <w:rsid w:val="00660FEA"/>
    <w:rsid w:val="006A3A8F"/>
    <w:rsid w:val="006B106F"/>
    <w:rsid w:val="006B3DA0"/>
    <w:rsid w:val="006C312A"/>
    <w:rsid w:val="006D4289"/>
    <w:rsid w:val="006D5723"/>
    <w:rsid w:val="006E72C2"/>
    <w:rsid w:val="006F12CC"/>
    <w:rsid w:val="00726BD2"/>
    <w:rsid w:val="00754F9B"/>
    <w:rsid w:val="00772132"/>
    <w:rsid w:val="00780679"/>
    <w:rsid w:val="0078321C"/>
    <w:rsid w:val="00784DA3"/>
    <w:rsid w:val="0079020A"/>
    <w:rsid w:val="00796347"/>
    <w:rsid w:val="00796BF4"/>
    <w:rsid w:val="007A6640"/>
    <w:rsid w:val="007B4997"/>
    <w:rsid w:val="007D0BEA"/>
    <w:rsid w:val="007D21CA"/>
    <w:rsid w:val="007E0DF8"/>
    <w:rsid w:val="007F0DE7"/>
    <w:rsid w:val="007F5620"/>
    <w:rsid w:val="00815CDB"/>
    <w:rsid w:val="0081620F"/>
    <w:rsid w:val="0081747F"/>
    <w:rsid w:val="00820A96"/>
    <w:rsid w:val="00820BA4"/>
    <w:rsid w:val="00822F0C"/>
    <w:rsid w:val="008252D3"/>
    <w:rsid w:val="0084565B"/>
    <w:rsid w:val="0085452A"/>
    <w:rsid w:val="00860BBF"/>
    <w:rsid w:val="00860CEF"/>
    <w:rsid w:val="008729AE"/>
    <w:rsid w:val="00882EAB"/>
    <w:rsid w:val="0089644E"/>
    <w:rsid w:val="008A7550"/>
    <w:rsid w:val="008B2C94"/>
    <w:rsid w:val="008C23CF"/>
    <w:rsid w:val="008C3D57"/>
    <w:rsid w:val="008D4E25"/>
    <w:rsid w:val="008F7F4A"/>
    <w:rsid w:val="009015FC"/>
    <w:rsid w:val="0090483A"/>
    <w:rsid w:val="00904D06"/>
    <w:rsid w:val="009301B7"/>
    <w:rsid w:val="00930A8C"/>
    <w:rsid w:val="00943FDF"/>
    <w:rsid w:val="0095410A"/>
    <w:rsid w:val="00962496"/>
    <w:rsid w:val="00965A04"/>
    <w:rsid w:val="00967BC8"/>
    <w:rsid w:val="009912F8"/>
    <w:rsid w:val="00992302"/>
    <w:rsid w:val="0099600C"/>
    <w:rsid w:val="00997264"/>
    <w:rsid w:val="00997C41"/>
    <w:rsid w:val="009A0F7A"/>
    <w:rsid w:val="009A3D8B"/>
    <w:rsid w:val="009B0B7B"/>
    <w:rsid w:val="009B36B0"/>
    <w:rsid w:val="009D0A99"/>
    <w:rsid w:val="009D7442"/>
    <w:rsid w:val="009E7037"/>
    <w:rsid w:val="009F1A4A"/>
    <w:rsid w:val="009F62A0"/>
    <w:rsid w:val="009F74F6"/>
    <w:rsid w:val="00A03C0F"/>
    <w:rsid w:val="00A051D7"/>
    <w:rsid w:val="00A14BFB"/>
    <w:rsid w:val="00A15E57"/>
    <w:rsid w:val="00A43041"/>
    <w:rsid w:val="00A51762"/>
    <w:rsid w:val="00A92FFC"/>
    <w:rsid w:val="00AB1D7E"/>
    <w:rsid w:val="00AB2E2E"/>
    <w:rsid w:val="00AC76D3"/>
    <w:rsid w:val="00AE0646"/>
    <w:rsid w:val="00AF3182"/>
    <w:rsid w:val="00B166C9"/>
    <w:rsid w:val="00B30FA4"/>
    <w:rsid w:val="00B33B3E"/>
    <w:rsid w:val="00B371E9"/>
    <w:rsid w:val="00B43DDF"/>
    <w:rsid w:val="00B51166"/>
    <w:rsid w:val="00B51548"/>
    <w:rsid w:val="00B64632"/>
    <w:rsid w:val="00B647F8"/>
    <w:rsid w:val="00B74EEC"/>
    <w:rsid w:val="00B93CB7"/>
    <w:rsid w:val="00BA243F"/>
    <w:rsid w:val="00BA6A33"/>
    <w:rsid w:val="00BB071C"/>
    <w:rsid w:val="00BE1D69"/>
    <w:rsid w:val="00BE5098"/>
    <w:rsid w:val="00BE5531"/>
    <w:rsid w:val="00BF0EEE"/>
    <w:rsid w:val="00C27B8B"/>
    <w:rsid w:val="00C41426"/>
    <w:rsid w:val="00C6097B"/>
    <w:rsid w:val="00C61387"/>
    <w:rsid w:val="00C73919"/>
    <w:rsid w:val="00C81A8E"/>
    <w:rsid w:val="00C81B8F"/>
    <w:rsid w:val="00C86AD4"/>
    <w:rsid w:val="00CB206E"/>
    <w:rsid w:val="00CC2EFE"/>
    <w:rsid w:val="00D0562C"/>
    <w:rsid w:val="00D106C6"/>
    <w:rsid w:val="00D16F24"/>
    <w:rsid w:val="00D21207"/>
    <w:rsid w:val="00D479D9"/>
    <w:rsid w:val="00D53CF8"/>
    <w:rsid w:val="00D56758"/>
    <w:rsid w:val="00D62B0C"/>
    <w:rsid w:val="00D64F69"/>
    <w:rsid w:val="00D75B5C"/>
    <w:rsid w:val="00D82E48"/>
    <w:rsid w:val="00DA0DD3"/>
    <w:rsid w:val="00DA2CF0"/>
    <w:rsid w:val="00DB65D8"/>
    <w:rsid w:val="00DC12A3"/>
    <w:rsid w:val="00DE4357"/>
    <w:rsid w:val="00E23585"/>
    <w:rsid w:val="00E25B70"/>
    <w:rsid w:val="00E3638D"/>
    <w:rsid w:val="00E40C68"/>
    <w:rsid w:val="00E651D1"/>
    <w:rsid w:val="00E778C3"/>
    <w:rsid w:val="00E816BB"/>
    <w:rsid w:val="00E841B3"/>
    <w:rsid w:val="00E873F1"/>
    <w:rsid w:val="00E87FC3"/>
    <w:rsid w:val="00E903E8"/>
    <w:rsid w:val="00E91F3A"/>
    <w:rsid w:val="00EA0C03"/>
    <w:rsid w:val="00EB6CE5"/>
    <w:rsid w:val="00EE141D"/>
    <w:rsid w:val="00F04A10"/>
    <w:rsid w:val="00F36282"/>
    <w:rsid w:val="00F43BA6"/>
    <w:rsid w:val="00F5253C"/>
    <w:rsid w:val="00F57B4D"/>
    <w:rsid w:val="00F57C71"/>
    <w:rsid w:val="00F60E98"/>
    <w:rsid w:val="00F6346D"/>
    <w:rsid w:val="00F65EE8"/>
    <w:rsid w:val="00F66ACA"/>
    <w:rsid w:val="00F706FA"/>
    <w:rsid w:val="00F7375E"/>
    <w:rsid w:val="00F75B84"/>
    <w:rsid w:val="00F7656F"/>
    <w:rsid w:val="00F83D6A"/>
    <w:rsid w:val="00F93903"/>
    <w:rsid w:val="00FA6B7D"/>
    <w:rsid w:val="00FB0361"/>
    <w:rsid w:val="00FB6DAA"/>
    <w:rsid w:val="00FE1285"/>
    <w:rsid w:val="00FE2CC9"/>
    <w:rsid w:val="00FE773B"/>
    <w:rsid w:val="00FF0B06"/>
    <w:rsid w:val="00FF41FE"/>
    <w:rsid w:val="00FF79C7"/>
    <w:rsid w:val="013A6BC4"/>
    <w:rsid w:val="21577120"/>
    <w:rsid w:val="23030715"/>
    <w:rsid w:val="23C726B4"/>
    <w:rsid w:val="24D406FB"/>
    <w:rsid w:val="2C895BD4"/>
    <w:rsid w:val="2E4C5B33"/>
    <w:rsid w:val="3BFA60D7"/>
    <w:rsid w:val="3FC419CD"/>
    <w:rsid w:val="3FD041D6"/>
    <w:rsid w:val="487E245C"/>
    <w:rsid w:val="48F9109F"/>
    <w:rsid w:val="4C14566A"/>
    <w:rsid w:val="5C5D6E1A"/>
    <w:rsid w:val="6BE35E98"/>
    <w:rsid w:val="71DA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right"/>
    </w:pPr>
    <w:rPr>
      <w:rFonts w:ascii="宋体" w:hAnsi="宋体"/>
      <w:sz w:val="28"/>
      <w:szCs w:val="2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1481</Words>
  <Characters>8447</Characters>
  <Lines>70</Lines>
  <Paragraphs>19</Paragraphs>
  <TotalTime>1288</TotalTime>
  <ScaleCrop>false</ScaleCrop>
  <LinksUpToDate>false</LinksUpToDate>
  <CharactersWithSpaces>9909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2022-12-16T01:13:00Z</dcterms:created>
  <dc:creator>Administrator</dc:creator>
  <cp:lastModifiedBy>夜蓝</cp:lastModifiedBy>
  <cp:lastPrinted>2024-03-29T02:32:00Z</cp:lastPrinted>
  <dcterms:modified xsi:type="dcterms:W3CDTF">2024-04-01T00:30:08Z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0AE5D66D3C764D29A9D685A999F716EF_13</vt:lpwstr>
  </property>
</Properties>
</file>