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ind w:left="630" w:leftChars="300" w:right="630" w:rightChars="300"/>
        <w:jc w:val="center"/>
        <w:rPr>
          <w:rFonts w:ascii="Times New Roman" w:hAnsi="Times New Roman" w:cs="Times New Roman"/>
          <w:sz w:val="64"/>
          <w:szCs w:val="64"/>
        </w:rPr>
      </w:pPr>
      <w:r>
        <w:rPr>
          <w:rFonts w:hint="eastAsia" w:ascii="Times New Roman" w:hAnsi="Times New Roman" w:cs="Times New Roman"/>
          <w:sz w:val="64"/>
          <w:szCs w:val="64"/>
        </w:rPr>
        <w:t>南安</w:t>
      </w:r>
      <w:r>
        <w:rPr>
          <w:rFonts w:ascii="Times New Roman" w:hAnsi="Times New Roman" w:cs="Times New Roman"/>
          <w:sz w:val="64"/>
          <w:szCs w:val="64"/>
        </w:rPr>
        <w:t>市</w:t>
      </w:r>
      <w:r>
        <w:rPr>
          <w:rFonts w:hint="eastAsia" w:ascii="Times New Roman" w:hAnsi="Times New Roman" w:cs="Times New Roman"/>
          <w:sz w:val="64"/>
          <w:szCs w:val="64"/>
        </w:rPr>
        <w:t>中心城区</w:t>
      </w:r>
    </w:p>
    <w:p>
      <w:pPr>
        <w:ind w:left="630" w:leftChars="300" w:right="630" w:rightChars="300"/>
        <w:jc w:val="center"/>
        <w:rPr>
          <w:rFonts w:ascii="Times New Roman" w:hAnsi="Times New Roman" w:cs="Times New Roman"/>
          <w:sz w:val="64"/>
          <w:szCs w:val="64"/>
        </w:rPr>
      </w:pPr>
      <w:r>
        <w:rPr>
          <w:rFonts w:hint="eastAsia" w:ascii="Times New Roman" w:hAnsi="Times New Roman" w:cs="Times New Roman"/>
          <w:sz w:val="64"/>
          <w:szCs w:val="64"/>
        </w:rPr>
        <w:t>声环境功能区划分</w:t>
      </w:r>
    </w:p>
    <w:p>
      <w:pPr>
        <w:ind w:left="630" w:leftChars="300" w:right="630" w:rightChars="300"/>
        <w:jc w:val="center"/>
        <w:rPr>
          <w:rFonts w:ascii="Times New Roman" w:hAnsi="Times New Roman" w:cs="Times New Roman"/>
          <w:sz w:val="56"/>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15"/>
        <w:keepNext w:val="0"/>
        <w:keepLines w:val="0"/>
        <w:spacing w:beforeLines="0" w:afterLines="0"/>
        <w:outlineLvl w:val="9"/>
        <w:rPr>
          <w:rFonts w:eastAsia="宋体" w:cs="Times New Roman"/>
          <w:kern w:val="2"/>
          <w:szCs w:val="24"/>
        </w:rPr>
      </w:pPr>
    </w:p>
    <w:p>
      <w:pPr>
        <w:jc w:val="center"/>
        <w:rPr>
          <w:rFonts w:ascii="Times New Roman" w:hAnsi="Times New Roman"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644" w:bottom="2098" w:left="1644" w:header="851" w:footer="992" w:gutter="0"/>
          <w:cols w:space="425" w:num="1"/>
          <w:titlePg/>
          <w:docGrid w:type="linesAndChars" w:linePitch="312" w:charSpace="0"/>
        </w:sectPr>
      </w:pPr>
      <w:r>
        <w:rPr>
          <w:rFonts w:hint="eastAsia" w:ascii="Times New Roman" w:hAnsi="Times New Roman" w:cs="Times New Roman"/>
          <w:b/>
          <w:sz w:val="32"/>
          <w:szCs w:val="32"/>
        </w:rPr>
        <w:t>二〇一八年十二月</w:t>
      </w:r>
    </w:p>
    <w:p>
      <w:pPr>
        <w:pStyle w:val="13"/>
        <w:spacing w:before="100" w:after="100" w:line="240" w:lineRule="auto"/>
        <w:ind w:firstLine="0" w:firstLineChars="0"/>
        <w:rPr>
          <w:rFonts w:ascii="宋体" w:hAnsi="宋体" w:eastAsia="宋体"/>
          <w:sz w:val="36"/>
        </w:rPr>
      </w:pPr>
      <w:r>
        <w:rPr>
          <w:rFonts w:hint="eastAsia" w:ascii="宋体" w:hAnsi="宋体" w:eastAsia="宋体"/>
          <w:sz w:val="36"/>
        </w:rPr>
        <w:t>南安市中心城区</w:t>
      </w:r>
      <w:r>
        <w:rPr>
          <w:rFonts w:ascii="宋体" w:hAnsi="宋体" w:eastAsia="宋体"/>
          <w:sz w:val="36"/>
        </w:rPr>
        <w:t>声环境功能区</w:t>
      </w:r>
      <w:r>
        <w:rPr>
          <w:rFonts w:hint="eastAsia" w:ascii="宋体" w:hAnsi="宋体" w:eastAsia="宋体"/>
          <w:sz w:val="36"/>
        </w:rPr>
        <w:t>划分</w:t>
      </w:r>
    </w:p>
    <w:p>
      <w:pPr>
        <w:pStyle w:val="3"/>
        <w:spacing w:line="560" w:lineRule="exact"/>
        <w:ind w:firstLine="560"/>
      </w:pPr>
      <w:r>
        <w:rPr>
          <w:rFonts w:hint="eastAsia"/>
        </w:rPr>
        <w:t>随着南安市中心城区的不断扩大，社会、经济的日益发展，人们对工作、学习和生活环境质量的要求逐步提高。为了有效地管理和控制我市中心城区的噪声污染，改善和提高中心城区人民工作、学习和生活环境的声环境质量，结合《南安市城市总体规划（2017-2030年）》</w:t>
      </w:r>
      <w:r>
        <w:t>和</w:t>
      </w:r>
      <w:r>
        <w:rPr>
          <w:rFonts w:hint="eastAsia"/>
        </w:rPr>
        <w:t>南安市城区环境噪声现状，根据《声环境功能区划分技术规范》</w:t>
      </w:r>
      <w:r>
        <w:t>（GB/T15190-2014）</w:t>
      </w:r>
      <w:r>
        <w:rPr>
          <w:rFonts w:hint="eastAsia"/>
        </w:rPr>
        <w:t>等要求，制定本功能区划。</w:t>
      </w:r>
    </w:p>
    <w:p>
      <w:pPr>
        <w:pStyle w:val="13"/>
        <w:spacing w:before="0" w:after="0" w:line="560" w:lineRule="exact"/>
        <w:ind w:firstLine="560"/>
        <w:jc w:val="both"/>
        <w:rPr>
          <w:rFonts w:eastAsia="仿宋_GB2312"/>
          <w:bCs/>
          <w:sz w:val="28"/>
        </w:rPr>
      </w:pPr>
      <w:r>
        <w:rPr>
          <w:rFonts w:eastAsia="仿宋_GB2312"/>
          <w:bCs/>
          <w:sz w:val="28"/>
        </w:rPr>
        <w:t>1、</w:t>
      </w:r>
      <w:r>
        <w:rPr>
          <w:rFonts w:hint="eastAsia" w:eastAsia="仿宋_GB2312"/>
          <w:bCs/>
          <w:sz w:val="28"/>
        </w:rPr>
        <w:t>区划</w:t>
      </w:r>
      <w:r>
        <w:rPr>
          <w:rFonts w:eastAsia="仿宋_GB2312"/>
          <w:bCs/>
          <w:sz w:val="28"/>
        </w:rPr>
        <w:t>依据</w:t>
      </w:r>
    </w:p>
    <w:p>
      <w:pPr>
        <w:pStyle w:val="3"/>
        <w:numPr>
          <w:ilvl w:val="1"/>
          <w:numId w:val="1"/>
        </w:numPr>
        <w:spacing w:line="560" w:lineRule="exact"/>
        <w:ind w:left="0" w:firstLine="560"/>
      </w:pPr>
      <w:r>
        <w:t>《中华人民共和国环境</w:t>
      </w:r>
      <w:r>
        <w:rPr>
          <w:rFonts w:hint="eastAsia"/>
        </w:rPr>
        <w:t>保护</w:t>
      </w:r>
      <w:r>
        <w:t>法》；</w:t>
      </w:r>
    </w:p>
    <w:p>
      <w:pPr>
        <w:pStyle w:val="3"/>
        <w:numPr>
          <w:ilvl w:val="1"/>
          <w:numId w:val="1"/>
        </w:numPr>
        <w:spacing w:line="560" w:lineRule="exact"/>
        <w:ind w:left="0" w:firstLine="560"/>
      </w:pPr>
      <w:r>
        <w:t>《中华人民共和国环境噪声污染防治法》；</w:t>
      </w:r>
    </w:p>
    <w:p>
      <w:pPr>
        <w:pStyle w:val="3"/>
        <w:numPr>
          <w:ilvl w:val="1"/>
          <w:numId w:val="1"/>
        </w:numPr>
        <w:spacing w:line="560" w:lineRule="exact"/>
        <w:ind w:left="0" w:firstLine="560"/>
      </w:pPr>
      <w:r>
        <w:rPr>
          <w:rFonts w:hint="eastAsia"/>
        </w:rPr>
        <w:t>《福建省环境保护条例》；</w:t>
      </w:r>
    </w:p>
    <w:p>
      <w:pPr>
        <w:pStyle w:val="3"/>
        <w:numPr>
          <w:ilvl w:val="1"/>
          <w:numId w:val="1"/>
        </w:numPr>
        <w:spacing w:line="560" w:lineRule="exact"/>
        <w:ind w:left="0" w:firstLine="560"/>
      </w:pPr>
      <w:r>
        <w:t>《声环境质量标准》（GB3096-2008）；</w:t>
      </w:r>
    </w:p>
    <w:p>
      <w:pPr>
        <w:pStyle w:val="3"/>
        <w:numPr>
          <w:ilvl w:val="1"/>
          <w:numId w:val="1"/>
        </w:numPr>
        <w:spacing w:line="560" w:lineRule="exact"/>
        <w:ind w:left="0" w:firstLine="560"/>
      </w:pPr>
      <w:r>
        <w:t>《声环境功能区划分技术规范》（GB/T15190-2014）；</w:t>
      </w:r>
    </w:p>
    <w:p>
      <w:pPr>
        <w:pStyle w:val="3"/>
        <w:numPr>
          <w:ilvl w:val="1"/>
          <w:numId w:val="1"/>
        </w:numPr>
        <w:spacing w:line="560" w:lineRule="exact"/>
        <w:ind w:left="0" w:firstLine="560"/>
      </w:pPr>
      <w:r>
        <w:rPr>
          <w:rFonts w:hint="eastAsia"/>
        </w:rPr>
        <w:t>《南安市</w:t>
      </w:r>
      <w:r>
        <w:t>城市总体规划（2017-2030年）》；</w:t>
      </w:r>
    </w:p>
    <w:p>
      <w:pPr>
        <w:pStyle w:val="13"/>
        <w:spacing w:before="0" w:after="0" w:line="560" w:lineRule="exact"/>
        <w:ind w:firstLine="560"/>
        <w:jc w:val="both"/>
        <w:rPr>
          <w:rFonts w:eastAsia="仿宋_GB2312"/>
          <w:bCs/>
          <w:sz w:val="28"/>
        </w:rPr>
      </w:pPr>
      <w:r>
        <w:rPr>
          <w:rFonts w:eastAsia="仿宋_GB2312"/>
          <w:bCs/>
          <w:sz w:val="28"/>
        </w:rPr>
        <w:t>2、</w:t>
      </w:r>
      <w:r>
        <w:rPr>
          <w:rFonts w:hint="eastAsia" w:eastAsia="仿宋_GB2312"/>
          <w:bCs/>
          <w:sz w:val="28"/>
        </w:rPr>
        <w:t>区划</w:t>
      </w:r>
      <w:r>
        <w:rPr>
          <w:rFonts w:eastAsia="仿宋_GB2312"/>
          <w:bCs/>
          <w:sz w:val="28"/>
        </w:rPr>
        <w:t>范围</w:t>
      </w:r>
    </w:p>
    <w:p>
      <w:pPr>
        <w:pStyle w:val="3"/>
        <w:spacing w:line="560" w:lineRule="exact"/>
        <w:ind w:firstLine="560"/>
      </w:pPr>
      <w:r>
        <w:rPr>
          <w:rFonts w:hint="eastAsia"/>
        </w:rPr>
        <w:t>南安市中心城区声环境功能区划</w:t>
      </w:r>
      <w:r>
        <w:t>范围</w:t>
      </w:r>
      <w:r>
        <w:rPr>
          <w:rFonts w:hint="eastAsia"/>
        </w:rPr>
        <w:t>为《南安市城市总体规划（201</w:t>
      </w:r>
      <w:r>
        <w:t>7</w:t>
      </w:r>
      <w:r>
        <w:rPr>
          <w:rFonts w:hint="eastAsia"/>
        </w:rPr>
        <w:t>-2030年）》中心城区规划控制范围，中心城区规划范围为美林街道（部分）、柳城街道（部分）、溪美街道(部分)、省新镇（部分）、丰州镇（部分）、霞美镇等3 街道3 镇，规划范围为264 平方公里，具体见附图。</w:t>
      </w:r>
    </w:p>
    <w:p>
      <w:pPr>
        <w:pStyle w:val="13"/>
        <w:spacing w:before="0" w:after="0" w:line="560" w:lineRule="exact"/>
        <w:ind w:firstLine="560"/>
        <w:jc w:val="both"/>
        <w:rPr>
          <w:rFonts w:eastAsia="仿宋_GB2312"/>
          <w:bCs/>
          <w:sz w:val="28"/>
        </w:rPr>
      </w:pPr>
      <w:r>
        <w:rPr>
          <w:rFonts w:eastAsia="仿宋_GB2312"/>
          <w:bCs/>
          <w:sz w:val="28"/>
        </w:rPr>
        <w:t>3、</w:t>
      </w:r>
      <w:r>
        <w:rPr>
          <w:rFonts w:hint="eastAsia" w:eastAsia="仿宋_GB2312"/>
          <w:bCs/>
          <w:sz w:val="28"/>
        </w:rPr>
        <w:t>执行标准</w:t>
      </w:r>
    </w:p>
    <w:p>
      <w:pPr>
        <w:pStyle w:val="3"/>
        <w:spacing w:line="560" w:lineRule="exact"/>
        <w:ind w:firstLine="560"/>
      </w:pPr>
      <w:r>
        <w:rPr>
          <w:rFonts w:hint="eastAsia"/>
        </w:rPr>
        <w:t>声环境功能区执行标准为《声环境质量标准》（GB3096-2008），根据《声环境质量标准》（GB3096-2008），</w:t>
      </w:r>
      <w:r>
        <w:t>各类声环境功能区适用表1规定的环境噪声等效声级限值。</w:t>
      </w:r>
    </w:p>
    <w:p>
      <w:pPr>
        <w:pStyle w:val="3"/>
        <w:spacing w:line="560" w:lineRule="exact"/>
        <w:ind w:firstLine="0" w:firstLineChars="0"/>
        <w:jc w:val="center"/>
      </w:pPr>
      <w:r>
        <w:t>表1 环境噪声限值</w:t>
      </w:r>
      <w:r>
        <w:rPr>
          <w:rFonts w:hint="eastAsia"/>
        </w:rPr>
        <w:t xml:space="preserve"> </w:t>
      </w:r>
      <w:r>
        <w:t xml:space="preserve"> </w:t>
      </w:r>
      <w:r>
        <w:rPr>
          <w:rFonts w:hint="eastAsia"/>
        </w:rPr>
        <w:t>单位</w:t>
      </w:r>
      <w:r>
        <w:t>：dB(A)</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278"/>
        <w:gridCol w:w="2688"/>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2688" w:type="dxa"/>
            <w:gridSpan w:val="2"/>
            <w:vMerge w:val="restart"/>
            <w:vAlign w:val="center"/>
          </w:tcPr>
          <w:p>
            <w:pPr>
              <w:pStyle w:val="3"/>
              <w:ind w:firstLine="0" w:firstLineChars="0"/>
              <w:jc w:val="center"/>
              <w:rPr>
                <w:sz w:val="24"/>
              </w:rPr>
            </w:pPr>
            <w:r>
              <w:rPr>
                <w:rFonts w:hint="eastAsia"/>
                <w:sz w:val="24"/>
              </w:rPr>
              <w:t>声环境功能区类别</w:t>
            </w:r>
          </w:p>
        </w:tc>
        <w:tc>
          <w:tcPr>
            <w:tcW w:w="5377" w:type="dxa"/>
            <w:gridSpan w:val="2"/>
            <w:vAlign w:val="center"/>
          </w:tcPr>
          <w:p>
            <w:pPr>
              <w:pStyle w:val="3"/>
              <w:ind w:firstLine="0" w:firstLineChars="0"/>
              <w:jc w:val="center"/>
              <w:rPr>
                <w:sz w:val="24"/>
              </w:rPr>
            </w:pPr>
            <w:r>
              <w:rPr>
                <w:rFonts w:hint="eastAsia"/>
                <w:sz w:val="24"/>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2688" w:type="dxa"/>
            <w:gridSpan w:val="2"/>
            <w:vMerge w:val="continue"/>
            <w:vAlign w:val="center"/>
          </w:tcPr>
          <w:p>
            <w:pPr>
              <w:pStyle w:val="3"/>
              <w:ind w:firstLine="0" w:firstLineChars="0"/>
              <w:jc w:val="center"/>
              <w:rPr>
                <w:sz w:val="24"/>
              </w:rPr>
            </w:pPr>
          </w:p>
        </w:tc>
        <w:tc>
          <w:tcPr>
            <w:tcW w:w="2688" w:type="dxa"/>
            <w:vAlign w:val="center"/>
          </w:tcPr>
          <w:p>
            <w:pPr>
              <w:pStyle w:val="3"/>
              <w:ind w:firstLine="0" w:firstLineChars="0"/>
              <w:jc w:val="center"/>
              <w:rPr>
                <w:sz w:val="24"/>
              </w:rPr>
            </w:pPr>
            <w:r>
              <w:rPr>
                <w:rFonts w:hint="eastAsia"/>
                <w:sz w:val="24"/>
              </w:rPr>
              <w:t>昼间</w:t>
            </w:r>
            <w:r>
              <w:rPr>
                <w:sz w:val="24"/>
              </w:rPr>
              <w:t>Leq</w:t>
            </w:r>
          </w:p>
        </w:tc>
        <w:tc>
          <w:tcPr>
            <w:tcW w:w="2689" w:type="dxa"/>
            <w:vAlign w:val="center"/>
          </w:tcPr>
          <w:p>
            <w:pPr>
              <w:pStyle w:val="3"/>
              <w:ind w:firstLine="0" w:firstLineChars="0"/>
              <w:jc w:val="center"/>
              <w:rPr>
                <w:sz w:val="24"/>
              </w:rPr>
            </w:pPr>
            <w:r>
              <w:rPr>
                <w:rFonts w:hint="eastAsia"/>
                <w:sz w:val="24"/>
              </w:rPr>
              <w:t>夜间</w:t>
            </w:r>
            <w:r>
              <w:rPr>
                <w:sz w:val="24"/>
              </w:rPr>
              <w:t>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688" w:type="dxa"/>
            <w:gridSpan w:val="2"/>
            <w:vAlign w:val="center"/>
          </w:tcPr>
          <w:p>
            <w:pPr>
              <w:pStyle w:val="3"/>
              <w:ind w:firstLine="0" w:firstLineChars="0"/>
              <w:jc w:val="center"/>
              <w:rPr>
                <w:sz w:val="24"/>
              </w:rPr>
            </w:pPr>
            <w:r>
              <w:rPr>
                <w:rFonts w:hint="eastAsia"/>
                <w:sz w:val="24"/>
              </w:rPr>
              <w:t>0类</w:t>
            </w:r>
          </w:p>
        </w:tc>
        <w:tc>
          <w:tcPr>
            <w:tcW w:w="2688" w:type="dxa"/>
            <w:vAlign w:val="center"/>
          </w:tcPr>
          <w:p>
            <w:pPr>
              <w:pStyle w:val="3"/>
              <w:ind w:firstLine="0" w:firstLineChars="0"/>
              <w:jc w:val="center"/>
              <w:rPr>
                <w:sz w:val="24"/>
              </w:rPr>
            </w:pPr>
            <w:r>
              <w:rPr>
                <w:rFonts w:hint="eastAsia"/>
                <w:sz w:val="24"/>
              </w:rPr>
              <w:t>50</w:t>
            </w:r>
          </w:p>
        </w:tc>
        <w:tc>
          <w:tcPr>
            <w:tcW w:w="2689" w:type="dxa"/>
            <w:vAlign w:val="center"/>
          </w:tcPr>
          <w:p>
            <w:pPr>
              <w:pStyle w:val="3"/>
              <w:ind w:firstLine="0" w:firstLineChars="0"/>
              <w:jc w:val="center"/>
              <w:rPr>
                <w:sz w:val="24"/>
              </w:rPr>
            </w:pPr>
            <w:r>
              <w:rPr>
                <w:rFonts w:hint="eastAsia"/>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688" w:type="dxa"/>
            <w:gridSpan w:val="2"/>
            <w:vAlign w:val="center"/>
          </w:tcPr>
          <w:p>
            <w:pPr>
              <w:pStyle w:val="3"/>
              <w:ind w:firstLine="0" w:firstLineChars="0"/>
              <w:jc w:val="center"/>
              <w:rPr>
                <w:sz w:val="24"/>
              </w:rPr>
            </w:pPr>
            <w:r>
              <w:rPr>
                <w:rFonts w:hint="eastAsia"/>
                <w:sz w:val="24"/>
              </w:rPr>
              <w:t>1类</w:t>
            </w:r>
          </w:p>
        </w:tc>
        <w:tc>
          <w:tcPr>
            <w:tcW w:w="2688" w:type="dxa"/>
            <w:vAlign w:val="center"/>
          </w:tcPr>
          <w:p>
            <w:pPr>
              <w:pStyle w:val="3"/>
              <w:ind w:firstLine="0" w:firstLineChars="0"/>
              <w:jc w:val="center"/>
              <w:rPr>
                <w:sz w:val="24"/>
              </w:rPr>
            </w:pPr>
            <w:r>
              <w:rPr>
                <w:rFonts w:hint="eastAsia"/>
                <w:sz w:val="24"/>
              </w:rPr>
              <w:t>55</w:t>
            </w:r>
          </w:p>
        </w:tc>
        <w:tc>
          <w:tcPr>
            <w:tcW w:w="2689" w:type="dxa"/>
            <w:vAlign w:val="center"/>
          </w:tcPr>
          <w:p>
            <w:pPr>
              <w:pStyle w:val="3"/>
              <w:ind w:firstLine="0" w:firstLineChars="0"/>
              <w:jc w:val="center"/>
              <w:rPr>
                <w:sz w:val="24"/>
              </w:rPr>
            </w:pPr>
            <w:r>
              <w:rPr>
                <w:rFonts w:hint="eastAsia"/>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688" w:type="dxa"/>
            <w:gridSpan w:val="2"/>
            <w:vAlign w:val="center"/>
          </w:tcPr>
          <w:p>
            <w:pPr>
              <w:pStyle w:val="3"/>
              <w:ind w:firstLine="0" w:firstLineChars="0"/>
              <w:jc w:val="center"/>
              <w:rPr>
                <w:sz w:val="24"/>
              </w:rPr>
            </w:pPr>
            <w:r>
              <w:rPr>
                <w:rFonts w:hint="eastAsia"/>
                <w:sz w:val="24"/>
              </w:rPr>
              <w:t>2类</w:t>
            </w:r>
          </w:p>
        </w:tc>
        <w:tc>
          <w:tcPr>
            <w:tcW w:w="2688" w:type="dxa"/>
            <w:vAlign w:val="center"/>
          </w:tcPr>
          <w:p>
            <w:pPr>
              <w:pStyle w:val="3"/>
              <w:ind w:firstLine="0" w:firstLineChars="0"/>
              <w:jc w:val="center"/>
              <w:rPr>
                <w:sz w:val="24"/>
              </w:rPr>
            </w:pPr>
            <w:r>
              <w:rPr>
                <w:rFonts w:hint="eastAsia"/>
                <w:sz w:val="24"/>
              </w:rPr>
              <w:t>60</w:t>
            </w:r>
          </w:p>
        </w:tc>
        <w:tc>
          <w:tcPr>
            <w:tcW w:w="2689" w:type="dxa"/>
            <w:vAlign w:val="center"/>
          </w:tcPr>
          <w:p>
            <w:pPr>
              <w:pStyle w:val="3"/>
              <w:ind w:firstLine="0" w:firstLineChars="0"/>
              <w:jc w:val="center"/>
              <w:rPr>
                <w:sz w:val="24"/>
              </w:rPr>
            </w:pPr>
            <w:r>
              <w:rPr>
                <w:rFonts w:hint="eastAsia"/>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688" w:type="dxa"/>
            <w:gridSpan w:val="2"/>
            <w:vAlign w:val="center"/>
          </w:tcPr>
          <w:p>
            <w:pPr>
              <w:pStyle w:val="3"/>
              <w:ind w:firstLine="0" w:firstLineChars="0"/>
              <w:jc w:val="center"/>
              <w:rPr>
                <w:sz w:val="24"/>
              </w:rPr>
            </w:pPr>
            <w:r>
              <w:rPr>
                <w:rFonts w:hint="eastAsia"/>
                <w:sz w:val="24"/>
              </w:rPr>
              <w:t>3类</w:t>
            </w:r>
          </w:p>
        </w:tc>
        <w:tc>
          <w:tcPr>
            <w:tcW w:w="2688" w:type="dxa"/>
            <w:vAlign w:val="center"/>
          </w:tcPr>
          <w:p>
            <w:pPr>
              <w:pStyle w:val="3"/>
              <w:ind w:firstLine="0" w:firstLineChars="0"/>
              <w:jc w:val="center"/>
              <w:rPr>
                <w:sz w:val="24"/>
              </w:rPr>
            </w:pPr>
            <w:r>
              <w:rPr>
                <w:rFonts w:hint="eastAsia"/>
                <w:sz w:val="24"/>
              </w:rPr>
              <w:t>65</w:t>
            </w:r>
          </w:p>
        </w:tc>
        <w:tc>
          <w:tcPr>
            <w:tcW w:w="2689" w:type="dxa"/>
            <w:vAlign w:val="center"/>
          </w:tcPr>
          <w:p>
            <w:pPr>
              <w:pStyle w:val="3"/>
              <w:ind w:firstLine="0" w:firstLineChars="0"/>
              <w:jc w:val="center"/>
              <w:rPr>
                <w:sz w:val="24"/>
              </w:rPr>
            </w:pPr>
            <w:r>
              <w:rPr>
                <w:rFonts w:hint="eastAsia"/>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10" w:type="dxa"/>
            <w:vMerge w:val="restart"/>
            <w:vAlign w:val="center"/>
          </w:tcPr>
          <w:p>
            <w:pPr>
              <w:pStyle w:val="3"/>
              <w:ind w:firstLine="0" w:firstLineChars="0"/>
              <w:jc w:val="center"/>
              <w:rPr>
                <w:sz w:val="24"/>
              </w:rPr>
            </w:pPr>
            <w:r>
              <w:rPr>
                <w:rFonts w:hint="eastAsia"/>
                <w:sz w:val="24"/>
              </w:rPr>
              <w:t>4类</w:t>
            </w:r>
          </w:p>
        </w:tc>
        <w:tc>
          <w:tcPr>
            <w:tcW w:w="1278" w:type="dxa"/>
            <w:vAlign w:val="center"/>
          </w:tcPr>
          <w:p>
            <w:pPr>
              <w:pStyle w:val="3"/>
              <w:ind w:firstLine="0" w:firstLineChars="0"/>
              <w:jc w:val="center"/>
              <w:rPr>
                <w:sz w:val="24"/>
              </w:rPr>
            </w:pPr>
            <w:r>
              <w:rPr>
                <w:rFonts w:hint="eastAsia"/>
                <w:sz w:val="24"/>
              </w:rPr>
              <w:t>4a类</w:t>
            </w:r>
          </w:p>
        </w:tc>
        <w:tc>
          <w:tcPr>
            <w:tcW w:w="2688" w:type="dxa"/>
            <w:vAlign w:val="center"/>
          </w:tcPr>
          <w:p>
            <w:pPr>
              <w:pStyle w:val="3"/>
              <w:ind w:firstLine="0" w:firstLineChars="0"/>
              <w:jc w:val="center"/>
              <w:rPr>
                <w:sz w:val="24"/>
              </w:rPr>
            </w:pPr>
            <w:r>
              <w:rPr>
                <w:rFonts w:hint="eastAsia"/>
                <w:sz w:val="24"/>
              </w:rPr>
              <w:t>70</w:t>
            </w:r>
          </w:p>
        </w:tc>
        <w:tc>
          <w:tcPr>
            <w:tcW w:w="2689" w:type="dxa"/>
            <w:vAlign w:val="center"/>
          </w:tcPr>
          <w:p>
            <w:pPr>
              <w:pStyle w:val="3"/>
              <w:ind w:firstLine="0" w:firstLineChars="0"/>
              <w:jc w:val="center"/>
              <w:rPr>
                <w:sz w:val="24"/>
              </w:rPr>
            </w:pPr>
            <w:r>
              <w:rPr>
                <w:rFonts w:hint="eastAsia"/>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10" w:type="dxa"/>
            <w:vMerge w:val="continue"/>
            <w:vAlign w:val="center"/>
          </w:tcPr>
          <w:p>
            <w:pPr>
              <w:pStyle w:val="3"/>
              <w:ind w:firstLine="0" w:firstLineChars="0"/>
              <w:jc w:val="center"/>
              <w:rPr>
                <w:sz w:val="24"/>
              </w:rPr>
            </w:pPr>
          </w:p>
        </w:tc>
        <w:tc>
          <w:tcPr>
            <w:tcW w:w="1278" w:type="dxa"/>
            <w:vAlign w:val="center"/>
          </w:tcPr>
          <w:p>
            <w:pPr>
              <w:pStyle w:val="3"/>
              <w:ind w:firstLine="0" w:firstLineChars="0"/>
              <w:jc w:val="center"/>
              <w:rPr>
                <w:sz w:val="24"/>
              </w:rPr>
            </w:pPr>
            <w:r>
              <w:rPr>
                <w:rFonts w:hint="eastAsia"/>
                <w:sz w:val="24"/>
              </w:rPr>
              <w:t>4b类</w:t>
            </w:r>
          </w:p>
        </w:tc>
        <w:tc>
          <w:tcPr>
            <w:tcW w:w="2688" w:type="dxa"/>
            <w:vAlign w:val="center"/>
          </w:tcPr>
          <w:p>
            <w:pPr>
              <w:pStyle w:val="3"/>
              <w:ind w:firstLine="0" w:firstLineChars="0"/>
              <w:jc w:val="center"/>
              <w:rPr>
                <w:sz w:val="24"/>
              </w:rPr>
            </w:pPr>
            <w:r>
              <w:rPr>
                <w:rFonts w:hint="eastAsia"/>
                <w:sz w:val="24"/>
              </w:rPr>
              <w:t>70</w:t>
            </w:r>
          </w:p>
        </w:tc>
        <w:tc>
          <w:tcPr>
            <w:tcW w:w="2689" w:type="dxa"/>
            <w:vAlign w:val="center"/>
          </w:tcPr>
          <w:p>
            <w:pPr>
              <w:pStyle w:val="3"/>
              <w:ind w:firstLine="0" w:firstLineChars="0"/>
              <w:jc w:val="center"/>
              <w:rPr>
                <w:sz w:val="24"/>
              </w:rP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5" w:type="dxa"/>
            <w:gridSpan w:val="4"/>
            <w:vAlign w:val="center"/>
          </w:tcPr>
          <w:p>
            <w:pPr>
              <w:pStyle w:val="3"/>
              <w:ind w:firstLine="0" w:firstLineChars="0"/>
              <w:jc w:val="center"/>
              <w:rPr>
                <w:sz w:val="24"/>
              </w:rPr>
            </w:pPr>
            <w:r>
              <w:rPr>
                <w:sz w:val="24"/>
              </w:rPr>
              <w:t>昼间为六时至二十二时，夜间为二十二时至次日六时</w:t>
            </w:r>
          </w:p>
        </w:tc>
      </w:tr>
    </w:tbl>
    <w:p>
      <w:pPr>
        <w:pStyle w:val="3"/>
        <w:ind w:firstLine="560"/>
      </w:pPr>
    </w:p>
    <w:p>
      <w:pPr>
        <w:pStyle w:val="13"/>
        <w:spacing w:before="0" w:after="0" w:line="560" w:lineRule="exact"/>
        <w:ind w:firstLine="560"/>
        <w:jc w:val="both"/>
        <w:rPr>
          <w:rFonts w:eastAsia="仿宋_GB2312"/>
          <w:bCs/>
          <w:sz w:val="28"/>
        </w:rPr>
      </w:pPr>
      <w:r>
        <w:rPr>
          <w:rFonts w:hint="eastAsia" w:eastAsia="仿宋_GB2312"/>
          <w:bCs/>
          <w:sz w:val="28"/>
        </w:rPr>
        <w:t>4、交通干线两侧功能区的划分</w:t>
      </w:r>
    </w:p>
    <w:p>
      <w:pPr>
        <w:pStyle w:val="3"/>
        <w:ind w:firstLine="560"/>
      </w:pPr>
      <w:r>
        <w:rPr>
          <w:rFonts w:hint="eastAsia"/>
        </w:rPr>
        <w:t>（1）道路交通干线两侧功能区的划分</w:t>
      </w:r>
    </w:p>
    <w:p>
      <w:pPr>
        <w:pStyle w:val="3"/>
        <w:ind w:firstLine="560"/>
      </w:pPr>
      <w:r>
        <w:rPr>
          <w:rFonts w:hint="eastAsia"/>
        </w:rPr>
        <w:t>以城市总体规划确定的交通干线（高速公路、城市快速路、城市主次干路）为依据，将道路交通干线边界线外一定距离内的区域划为4a类声环境功能区。距离的确定方法如下：</w:t>
      </w:r>
    </w:p>
    <w:p>
      <w:pPr>
        <w:pStyle w:val="3"/>
        <w:ind w:firstLine="560"/>
      </w:pPr>
      <w:r>
        <w:rPr>
          <w:rFonts w:hint="eastAsia"/>
        </w:rPr>
        <w:t>a.相邻区域为1类声环境功能区域，距离为50m；</w:t>
      </w:r>
    </w:p>
    <w:p>
      <w:pPr>
        <w:pStyle w:val="3"/>
        <w:ind w:firstLine="560"/>
      </w:pPr>
      <w:r>
        <w:rPr>
          <w:rFonts w:hint="eastAsia"/>
        </w:rPr>
        <w:t>b.相邻区域为2类声环境功能区域，距离为35m；</w:t>
      </w:r>
    </w:p>
    <w:p>
      <w:pPr>
        <w:pStyle w:val="3"/>
        <w:ind w:firstLine="560"/>
      </w:pPr>
      <w:r>
        <w:rPr>
          <w:rFonts w:hint="eastAsia"/>
        </w:rPr>
        <w:t>c.相邻区域为3类声环境功能区域，距离为25m；</w:t>
      </w:r>
    </w:p>
    <w:p>
      <w:pPr>
        <w:pStyle w:val="3"/>
        <w:ind w:firstLine="560"/>
      </w:pPr>
      <w:r>
        <w:rPr>
          <w:rFonts w:hint="eastAsia"/>
        </w:rPr>
        <w:t>当临街建筑以高于三层楼房以上（含三层）的建筑为主，将临街建筑物面向道路交通干线一侧至道路边界线的区域划为4a类声环境功能区。</w:t>
      </w:r>
    </w:p>
    <w:p>
      <w:pPr>
        <w:pStyle w:val="3"/>
        <w:ind w:firstLine="560"/>
      </w:pPr>
      <w:r>
        <w:rPr>
          <w:rFonts w:hint="eastAsia"/>
        </w:rPr>
        <w:t>（2）铁路干线两侧功能区划分</w:t>
      </w:r>
    </w:p>
    <w:p>
      <w:pPr>
        <w:pStyle w:val="3"/>
        <w:ind w:firstLine="560"/>
      </w:pPr>
      <w:r>
        <w:rPr>
          <w:rFonts w:hint="eastAsia"/>
        </w:rPr>
        <w:t>将铁路干线边界线外一定距离以内的区域划分为4b类声环境功能区，距离的确定方法与道路交通干线两侧区域相同（不考虑两侧相邻建筑物高度）。</w:t>
      </w:r>
    </w:p>
    <w:p>
      <w:pPr>
        <w:pStyle w:val="13"/>
        <w:spacing w:before="0" w:after="0" w:line="560" w:lineRule="exact"/>
        <w:ind w:firstLine="560"/>
        <w:jc w:val="both"/>
        <w:rPr>
          <w:rFonts w:eastAsia="仿宋_GB2312"/>
          <w:bCs/>
          <w:sz w:val="28"/>
        </w:rPr>
      </w:pPr>
      <w:r>
        <w:rPr>
          <w:rFonts w:hint="eastAsia" w:eastAsia="仿宋_GB2312"/>
          <w:bCs/>
          <w:sz w:val="28"/>
        </w:rPr>
        <w:t>5、各类标准适用区域的划分</w:t>
      </w:r>
    </w:p>
    <w:p>
      <w:pPr>
        <w:pStyle w:val="3"/>
        <w:spacing w:line="560" w:lineRule="exact"/>
        <w:ind w:firstLine="560"/>
      </w:pPr>
      <w:r>
        <w:rPr>
          <w:rFonts w:hint="eastAsia"/>
        </w:rPr>
        <w:t>根据《南安市城市总体规划（2017-2030年）》确定的规划用地主导功能以及南安市中心城区声环境质量现状监测结果，中心城区不设0类声环境功能区。规划中心城区范围内除1类、3类、4类声环境功能区以外的区域均划为2类声环境功能区。南安市中心城区各类标准适用区域的</w:t>
      </w:r>
      <w:r>
        <w:t>划分见表2。</w:t>
      </w:r>
      <w:r>
        <w:rPr>
          <w:rFonts w:hint="eastAsia"/>
        </w:rPr>
        <w:t>南安市中心城区声环境功能区划分图具体见附图。</w:t>
      </w:r>
    </w:p>
    <w:p>
      <w:pPr>
        <w:pStyle w:val="3"/>
        <w:spacing w:line="560" w:lineRule="exact"/>
        <w:ind w:firstLine="0" w:firstLineChars="0"/>
        <w:jc w:val="center"/>
      </w:pPr>
      <w:r>
        <w:rPr>
          <w:rFonts w:hint="eastAsia"/>
        </w:rPr>
        <w:t>表2  中心城区各类标准适用区域划分及环境噪声执行标准值</w:t>
      </w:r>
    </w:p>
    <w:tbl>
      <w:tblPr>
        <w:tblStyle w:val="7"/>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853"/>
        <w:gridCol w:w="470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tblHeader/>
          <w:jc w:val="center"/>
        </w:trPr>
        <w:tc>
          <w:tcPr>
            <w:tcW w:w="498" w:type="pct"/>
            <w:noWrap/>
            <w:tcMar>
              <w:top w:w="17" w:type="dxa"/>
              <w:left w:w="17" w:type="dxa"/>
              <w:bottom w:w="0" w:type="dxa"/>
              <w:right w:w="17" w:type="dxa"/>
            </w:tcMar>
            <w:vAlign w:val="center"/>
          </w:tcPr>
          <w:p>
            <w:pPr>
              <w:pStyle w:val="3"/>
              <w:ind w:firstLine="0" w:firstLineChars="0"/>
              <w:jc w:val="center"/>
              <w:rPr>
                <w:b/>
                <w:sz w:val="24"/>
              </w:rPr>
            </w:pPr>
            <w:r>
              <w:rPr>
                <w:b/>
                <w:sz w:val="24"/>
              </w:rPr>
              <w:t>类别</w:t>
            </w:r>
          </w:p>
        </w:tc>
        <w:tc>
          <w:tcPr>
            <w:tcW w:w="1084" w:type="pct"/>
            <w:noWrap/>
            <w:tcMar>
              <w:top w:w="17" w:type="dxa"/>
              <w:left w:w="17" w:type="dxa"/>
              <w:bottom w:w="0" w:type="dxa"/>
              <w:right w:w="17" w:type="dxa"/>
            </w:tcMar>
            <w:vAlign w:val="center"/>
          </w:tcPr>
          <w:p>
            <w:pPr>
              <w:pStyle w:val="3"/>
              <w:ind w:firstLine="0" w:firstLineChars="0"/>
              <w:jc w:val="center"/>
              <w:rPr>
                <w:b/>
                <w:sz w:val="24"/>
              </w:rPr>
            </w:pPr>
            <w:r>
              <w:rPr>
                <w:rFonts w:hint="eastAsia"/>
                <w:b/>
                <w:sz w:val="24"/>
              </w:rPr>
              <w:t>片区简称</w:t>
            </w:r>
          </w:p>
        </w:tc>
        <w:tc>
          <w:tcPr>
            <w:tcW w:w="2751" w:type="pct"/>
            <w:vAlign w:val="center"/>
          </w:tcPr>
          <w:p>
            <w:pPr>
              <w:pStyle w:val="3"/>
              <w:ind w:firstLine="0" w:firstLineChars="0"/>
              <w:jc w:val="center"/>
              <w:rPr>
                <w:b/>
                <w:sz w:val="24"/>
              </w:rPr>
            </w:pPr>
            <w:r>
              <w:rPr>
                <w:rFonts w:hint="eastAsia"/>
                <w:b/>
                <w:sz w:val="24"/>
              </w:rPr>
              <w:t>区域范围</w:t>
            </w:r>
          </w:p>
        </w:tc>
        <w:tc>
          <w:tcPr>
            <w:tcW w:w="667" w:type="pct"/>
            <w:noWrap/>
            <w:tcMar>
              <w:top w:w="17" w:type="dxa"/>
              <w:left w:w="17" w:type="dxa"/>
              <w:bottom w:w="0" w:type="dxa"/>
              <w:right w:w="17" w:type="dxa"/>
            </w:tcMar>
            <w:vAlign w:val="center"/>
          </w:tcPr>
          <w:p>
            <w:pPr>
              <w:pStyle w:val="3"/>
              <w:ind w:firstLine="0" w:firstLineChars="0"/>
              <w:jc w:val="center"/>
              <w:rPr>
                <w:b/>
                <w:sz w:val="24"/>
              </w:rPr>
            </w:pPr>
            <w:r>
              <w:rPr>
                <w:rFonts w:hint="eastAsia"/>
                <w:b/>
                <w:sz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atLeast"/>
          <w:jc w:val="center"/>
        </w:trPr>
        <w:tc>
          <w:tcPr>
            <w:tcW w:w="498" w:type="pct"/>
            <w:vMerge w:val="restart"/>
            <w:noWrap/>
            <w:tcMar>
              <w:top w:w="17" w:type="dxa"/>
              <w:left w:w="17" w:type="dxa"/>
              <w:bottom w:w="0" w:type="dxa"/>
              <w:right w:w="17" w:type="dxa"/>
            </w:tcMar>
            <w:vAlign w:val="center"/>
          </w:tcPr>
          <w:p>
            <w:pPr>
              <w:pStyle w:val="3"/>
              <w:ind w:firstLine="0" w:firstLineChars="0"/>
              <w:jc w:val="center"/>
              <w:rPr>
                <w:sz w:val="24"/>
              </w:rPr>
            </w:pPr>
            <w:r>
              <w:rPr>
                <w:rFonts w:hint="eastAsia"/>
                <w:sz w:val="24"/>
              </w:rPr>
              <w:t>1类区</w:t>
            </w: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九日山风景区</w:t>
            </w:r>
          </w:p>
        </w:tc>
        <w:tc>
          <w:tcPr>
            <w:tcW w:w="2751" w:type="pct"/>
            <w:vAlign w:val="center"/>
          </w:tcPr>
          <w:p>
            <w:pPr>
              <w:pStyle w:val="3"/>
              <w:ind w:firstLine="0" w:firstLineChars="0"/>
              <w:jc w:val="center"/>
              <w:rPr>
                <w:sz w:val="24"/>
              </w:rPr>
            </w:pPr>
            <w:r>
              <w:rPr>
                <w:rFonts w:hint="eastAsia"/>
                <w:sz w:val="24"/>
              </w:rPr>
              <w:t>九日山风景区规划红线范围内区域</w:t>
            </w:r>
          </w:p>
        </w:tc>
        <w:tc>
          <w:tcPr>
            <w:tcW w:w="667" w:type="pct"/>
            <w:vMerge w:val="restart"/>
            <w:noWrap/>
            <w:tcMar>
              <w:top w:w="17" w:type="dxa"/>
              <w:left w:w="17" w:type="dxa"/>
              <w:bottom w:w="0" w:type="dxa"/>
              <w:right w:w="17" w:type="dxa"/>
            </w:tcMar>
            <w:vAlign w:val="center"/>
          </w:tcPr>
          <w:p>
            <w:pPr>
              <w:pStyle w:val="3"/>
              <w:ind w:firstLine="0" w:firstLineChars="0"/>
              <w:jc w:val="center"/>
              <w:rPr>
                <w:sz w:val="24"/>
              </w:rPr>
            </w:pPr>
            <w:r>
              <w:rPr>
                <w:sz w:val="24"/>
              </w:rPr>
              <w:t>昼间≤55dB</w:t>
            </w:r>
            <w:r>
              <w:rPr>
                <w:rFonts w:hint="eastAsia"/>
                <w:sz w:val="24"/>
              </w:rPr>
              <w:t>(A)</w:t>
            </w:r>
          </w:p>
          <w:p>
            <w:pPr>
              <w:pStyle w:val="3"/>
              <w:ind w:firstLine="0" w:firstLineChars="0"/>
              <w:jc w:val="center"/>
              <w:rPr>
                <w:sz w:val="24"/>
              </w:rPr>
            </w:pPr>
            <w:r>
              <w:rPr>
                <w:sz w:val="24"/>
              </w:rPr>
              <w:t>夜间≤45dB</w:t>
            </w:r>
            <w:r>
              <w:rPr>
                <w:rFonts w:hint="eastAsia"/>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continue"/>
            <w:noWrap/>
            <w:tcMar>
              <w:top w:w="17" w:type="dxa"/>
              <w:left w:w="17" w:type="dxa"/>
              <w:bottom w:w="0" w:type="dxa"/>
              <w:right w:w="17" w:type="dxa"/>
            </w:tcMar>
            <w:vAlign w:val="center"/>
          </w:tcPr>
          <w:p>
            <w:pPr>
              <w:pStyle w:val="3"/>
              <w:ind w:firstLine="0" w:firstLineChars="0"/>
              <w:jc w:val="center"/>
              <w:rPr>
                <w:sz w:val="24"/>
              </w:rPr>
            </w:pP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南山公园</w:t>
            </w:r>
          </w:p>
        </w:tc>
        <w:tc>
          <w:tcPr>
            <w:tcW w:w="2751" w:type="pct"/>
            <w:vAlign w:val="center"/>
          </w:tcPr>
          <w:p>
            <w:pPr>
              <w:pStyle w:val="3"/>
              <w:ind w:firstLine="0" w:firstLineChars="0"/>
              <w:jc w:val="center"/>
              <w:rPr>
                <w:sz w:val="24"/>
              </w:rPr>
            </w:pPr>
            <w:r>
              <w:rPr>
                <w:rFonts w:hint="eastAsia"/>
                <w:sz w:val="24"/>
              </w:rPr>
              <w:t>南大路→柳南路→快南环线→尾岭头</w:t>
            </w:r>
          </w:p>
        </w:tc>
        <w:tc>
          <w:tcPr>
            <w:tcW w:w="667" w:type="pct"/>
            <w:vMerge w:val="continue"/>
            <w:noWrap/>
            <w:tcMar>
              <w:top w:w="17" w:type="dxa"/>
              <w:left w:w="17" w:type="dxa"/>
              <w:bottom w:w="0" w:type="dxa"/>
              <w:right w:w="17" w:type="dxa"/>
            </w:tcMar>
            <w:vAlign w:val="center"/>
          </w:tcPr>
          <w:p>
            <w:pPr>
              <w:pStyle w:val="3"/>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2类区</w:t>
            </w:r>
          </w:p>
        </w:tc>
        <w:tc>
          <w:tcPr>
            <w:tcW w:w="3835" w:type="pct"/>
            <w:gridSpan w:val="2"/>
            <w:noWrap/>
            <w:tcMar>
              <w:top w:w="17" w:type="dxa"/>
              <w:left w:w="17" w:type="dxa"/>
              <w:bottom w:w="0" w:type="dxa"/>
              <w:right w:w="17" w:type="dxa"/>
            </w:tcMar>
            <w:vAlign w:val="center"/>
          </w:tcPr>
          <w:p>
            <w:pPr>
              <w:pStyle w:val="3"/>
              <w:ind w:firstLine="0" w:firstLineChars="0"/>
              <w:jc w:val="center"/>
              <w:rPr>
                <w:sz w:val="24"/>
              </w:rPr>
            </w:pPr>
            <w:r>
              <w:rPr>
                <w:rFonts w:hint="eastAsia"/>
                <w:sz w:val="24"/>
              </w:rPr>
              <w:t>除1、3、4类声环境功能区外均为2类声环境功能区</w:t>
            </w:r>
          </w:p>
        </w:tc>
        <w:tc>
          <w:tcPr>
            <w:tcW w:w="667" w:type="pct"/>
            <w:noWrap/>
            <w:tcMar>
              <w:top w:w="17" w:type="dxa"/>
              <w:left w:w="17" w:type="dxa"/>
              <w:bottom w:w="0" w:type="dxa"/>
              <w:right w:w="17" w:type="dxa"/>
            </w:tcMar>
            <w:vAlign w:val="center"/>
          </w:tcPr>
          <w:p>
            <w:pPr>
              <w:pStyle w:val="3"/>
              <w:ind w:firstLine="0" w:firstLineChars="0"/>
              <w:jc w:val="center"/>
              <w:rPr>
                <w:sz w:val="24"/>
              </w:rPr>
            </w:pPr>
            <w:r>
              <w:rPr>
                <w:sz w:val="24"/>
              </w:rPr>
              <w:t>昼间≤60dB</w:t>
            </w:r>
            <w:r>
              <w:rPr>
                <w:rFonts w:hint="eastAsia"/>
                <w:sz w:val="24"/>
              </w:rPr>
              <w:t>(A)</w:t>
            </w:r>
          </w:p>
          <w:p>
            <w:pPr>
              <w:pStyle w:val="3"/>
              <w:ind w:firstLine="0" w:firstLineChars="0"/>
              <w:jc w:val="center"/>
              <w:rPr>
                <w:sz w:val="24"/>
              </w:rPr>
            </w:pPr>
            <w:r>
              <w:rPr>
                <w:sz w:val="24"/>
              </w:rPr>
              <w:t>夜间≤50dB</w:t>
            </w:r>
            <w:r>
              <w:rPr>
                <w:rFonts w:hint="eastAsia"/>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restart"/>
            <w:noWrap/>
            <w:tcMar>
              <w:top w:w="17" w:type="dxa"/>
              <w:left w:w="17" w:type="dxa"/>
              <w:bottom w:w="0" w:type="dxa"/>
              <w:right w:w="17" w:type="dxa"/>
            </w:tcMar>
            <w:vAlign w:val="center"/>
          </w:tcPr>
          <w:p>
            <w:pPr>
              <w:pStyle w:val="3"/>
              <w:ind w:firstLine="0" w:firstLineChars="0"/>
              <w:jc w:val="center"/>
              <w:rPr>
                <w:sz w:val="24"/>
              </w:rPr>
            </w:pPr>
            <w:r>
              <w:rPr>
                <w:rFonts w:hint="eastAsia"/>
                <w:sz w:val="24"/>
              </w:rPr>
              <w:t>3类区</w:t>
            </w: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福建南安经济开发区</w:t>
            </w:r>
          </w:p>
        </w:tc>
        <w:tc>
          <w:tcPr>
            <w:tcW w:w="2751" w:type="pct"/>
            <w:vAlign w:val="center"/>
          </w:tcPr>
          <w:p>
            <w:pPr>
              <w:pStyle w:val="3"/>
              <w:ind w:firstLine="0" w:firstLineChars="0"/>
              <w:jc w:val="left"/>
              <w:rPr>
                <w:sz w:val="24"/>
              </w:rPr>
            </w:pPr>
            <w:r>
              <w:rPr>
                <w:rFonts w:hint="eastAsia"/>
                <w:sz w:val="24"/>
              </w:rPr>
              <w:t>①扶茂工业园：</w:t>
            </w:r>
          </w:p>
          <w:p>
            <w:pPr>
              <w:pStyle w:val="3"/>
              <w:ind w:firstLine="480"/>
              <w:jc w:val="left"/>
              <w:rPr>
                <w:sz w:val="24"/>
              </w:rPr>
            </w:pPr>
            <w:r>
              <w:rPr>
                <w:rFonts w:hint="eastAsia"/>
                <w:sz w:val="24"/>
              </w:rPr>
              <w:t>泉三高速安溪连接线→快环西线→兴泉铁路→县道329→泉三高速安溪连接线→岸帽村道→县道329→茂庆东路→柯厝、龙水西侧→规划道路→内王东侧→茂盛路→五房村道→茂盛路→福金路→漳泉肖铁路→顶街东侧</w:t>
            </w:r>
          </w:p>
          <w:p>
            <w:pPr>
              <w:pStyle w:val="3"/>
              <w:ind w:firstLine="0" w:firstLineChars="0"/>
              <w:jc w:val="left"/>
              <w:rPr>
                <w:sz w:val="24"/>
              </w:rPr>
            </w:pPr>
            <w:r>
              <w:rPr>
                <w:rFonts w:hint="eastAsia"/>
                <w:sz w:val="24"/>
              </w:rPr>
              <w:t>②成功工业园：</w:t>
            </w:r>
          </w:p>
          <w:p>
            <w:pPr>
              <w:pStyle w:val="3"/>
              <w:ind w:firstLine="480"/>
              <w:jc w:val="left"/>
              <w:rPr>
                <w:sz w:val="24"/>
              </w:rPr>
            </w:pPr>
            <w:r>
              <w:rPr>
                <w:rFonts w:hint="eastAsia"/>
                <w:sz w:val="24"/>
              </w:rPr>
              <w:t>顶大汾、寨仔头西侧→园区四周一重山麓</w:t>
            </w:r>
          </w:p>
        </w:tc>
        <w:tc>
          <w:tcPr>
            <w:tcW w:w="667" w:type="pct"/>
            <w:vMerge w:val="restart"/>
            <w:noWrap/>
            <w:tcMar>
              <w:top w:w="17" w:type="dxa"/>
              <w:left w:w="17" w:type="dxa"/>
              <w:bottom w:w="0" w:type="dxa"/>
              <w:right w:w="17" w:type="dxa"/>
            </w:tcMar>
            <w:vAlign w:val="center"/>
          </w:tcPr>
          <w:p>
            <w:pPr>
              <w:pStyle w:val="3"/>
              <w:ind w:firstLine="0" w:firstLineChars="0"/>
              <w:jc w:val="center"/>
              <w:rPr>
                <w:sz w:val="24"/>
              </w:rPr>
            </w:pPr>
            <w:r>
              <w:rPr>
                <w:sz w:val="24"/>
              </w:rPr>
              <w:t>昼间≤65dB</w:t>
            </w:r>
            <w:r>
              <w:rPr>
                <w:rFonts w:hint="eastAsia"/>
                <w:sz w:val="24"/>
              </w:rPr>
              <w:t>(A)</w:t>
            </w:r>
          </w:p>
          <w:p>
            <w:pPr>
              <w:pStyle w:val="3"/>
              <w:ind w:firstLine="0" w:firstLineChars="0"/>
              <w:jc w:val="center"/>
              <w:rPr>
                <w:sz w:val="24"/>
              </w:rPr>
            </w:pPr>
            <w:r>
              <w:rPr>
                <w:sz w:val="24"/>
              </w:rPr>
              <w:t>夜间≤55dB</w:t>
            </w:r>
            <w:r>
              <w:rPr>
                <w:rFonts w:hint="eastAsia"/>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continue"/>
            <w:noWrap/>
            <w:tcMar>
              <w:top w:w="17" w:type="dxa"/>
              <w:left w:w="17" w:type="dxa"/>
              <w:bottom w:w="0" w:type="dxa"/>
              <w:right w:w="17" w:type="dxa"/>
            </w:tcMar>
            <w:vAlign w:val="center"/>
          </w:tcPr>
          <w:p>
            <w:pPr>
              <w:pStyle w:val="3"/>
              <w:ind w:firstLine="0" w:firstLineChars="0"/>
              <w:jc w:val="center"/>
              <w:rPr>
                <w:sz w:val="24"/>
              </w:rPr>
            </w:pP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滨江机械装备制造基地</w:t>
            </w:r>
          </w:p>
        </w:tc>
        <w:tc>
          <w:tcPr>
            <w:tcW w:w="2751" w:type="pct"/>
            <w:vAlign w:val="center"/>
          </w:tcPr>
          <w:p>
            <w:pPr>
              <w:pStyle w:val="3"/>
              <w:ind w:firstLine="0" w:firstLineChars="0"/>
              <w:jc w:val="center"/>
              <w:rPr>
                <w:sz w:val="24"/>
              </w:rPr>
            </w:pPr>
            <w:r>
              <w:rPr>
                <w:rFonts w:hint="eastAsia"/>
                <w:sz w:val="24"/>
              </w:rPr>
              <w:t>南惠高速→规划洪霞路→犁头南侧村道→长福村村道→县道336→泉三高速→创新路→省道308→滨江大道→内环北路→大山南侧村道→泉三高速</w:t>
            </w:r>
          </w:p>
        </w:tc>
        <w:tc>
          <w:tcPr>
            <w:tcW w:w="667" w:type="pct"/>
            <w:vMerge w:val="continue"/>
            <w:noWrap/>
            <w:tcMar>
              <w:top w:w="17" w:type="dxa"/>
              <w:left w:w="17" w:type="dxa"/>
              <w:bottom w:w="0" w:type="dxa"/>
              <w:right w:w="17" w:type="dxa"/>
            </w:tcMar>
            <w:vAlign w:val="center"/>
          </w:tcPr>
          <w:p>
            <w:pPr>
              <w:pStyle w:val="3"/>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continue"/>
            <w:noWrap/>
            <w:tcMar>
              <w:top w:w="17" w:type="dxa"/>
              <w:left w:w="17" w:type="dxa"/>
              <w:bottom w:w="0" w:type="dxa"/>
              <w:right w:w="17" w:type="dxa"/>
            </w:tcMar>
            <w:vAlign w:val="center"/>
          </w:tcPr>
          <w:p>
            <w:pPr>
              <w:pStyle w:val="3"/>
              <w:ind w:firstLine="0" w:firstLineChars="0"/>
              <w:jc w:val="center"/>
              <w:rPr>
                <w:sz w:val="24"/>
              </w:rPr>
            </w:pP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泉州（南安）光电信息产业基地</w:t>
            </w:r>
          </w:p>
        </w:tc>
        <w:tc>
          <w:tcPr>
            <w:tcW w:w="2751" w:type="pct"/>
            <w:vAlign w:val="center"/>
          </w:tcPr>
          <w:p>
            <w:pPr>
              <w:pStyle w:val="3"/>
              <w:ind w:firstLine="0" w:firstLineChars="0"/>
              <w:jc w:val="center"/>
              <w:rPr>
                <w:sz w:val="24"/>
              </w:rPr>
            </w:pPr>
            <w:r>
              <w:rPr>
                <w:rFonts w:hint="eastAsia"/>
                <w:sz w:val="24"/>
              </w:rPr>
              <w:t>省道308→创业路→规划路→县道336→福厦铁路→外环南路→快南环线→橄榄山山路</w:t>
            </w:r>
          </w:p>
        </w:tc>
        <w:tc>
          <w:tcPr>
            <w:tcW w:w="667" w:type="pct"/>
            <w:vMerge w:val="continue"/>
            <w:noWrap/>
            <w:tcMar>
              <w:top w:w="17" w:type="dxa"/>
              <w:left w:w="17" w:type="dxa"/>
              <w:bottom w:w="0" w:type="dxa"/>
              <w:right w:w="17" w:type="dxa"/>
            </w:tcMar>
            <w:vAlign w:val="center"/>
          </w:tcPr>
          <w:p>
            <w:pPr>
              <w:pStyle w:val="3"/>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continue"/>
            <w:noWrap/>
            <w:tcMar>
              <w:top w:w="17" w:type="dxa"/>
              <w:left w:w="17" w:type="dxa"/>
              <w:bottom w:w="0" w:type="dxa"/>
              <w:right w:w="17" w:type="dxa"/>
            </w:tcMar>
            <w:vAlign w:val="center"/>
          </w:tcPr>
          <w:p>
            <w:pPr>
              <w:pStyle w:val="3"/>
              <w:ind w:firstLine="0" w:firstLineChars="0"/>
              <w:jc w:val="center"/>
              <w:rPr>
                <w:sz w:val="24"/>
              </w:rPr>
            </w:pP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榕桥产业基地</w:t>
            </w:r>
          </w:p>
        </w:tc>
        <w:tc>
          <w:tcPr>
            <w:tcW w:w="2751" w:type="pct"/>
            <w:vAlign w:val="center"/>
          </w:tcPr>
          <w:p>
            <w:pPr>
              <w:pStyle w:val="3"/>
              <w:ind w:firstLine="0" w:firstLineChars="0"/>
              <w:jc w:val="center"/>
              <w:rPr>
                <w:sz w:val="24"/>
              </w:rPr>
            </w:pPr>
            <w:r>
              <w:rPr>
                <w:rFonts w:hint="eastAsia"/>
                <w:sz w:val="24"/>
              </w:rPr>
              <w:t>南官公路→南石高速→规划南安外环线→规划工业大道→尾宫村道</w:t>
            </w:r>
          </w:p>
        </w:tc>
        <w:tc>
          <w:tcPr>
            <w:tcW w:w="667" w:type="pct"/>
            <w:vMerge w:val="continue"/>
            <w:noWrap/>
            <w:tcMar>
              <w:top w:w="17" w:type="dxa"/>
              <w:left w:w="17" w:type="dxa"/>
              <w:bottom w:w="0" w:type="dxa"/>
              <w:right w:w="17" w:type="dxa"/>
            </w:tcMar>
            <w:vAlign w:val="center"/>
          </w:tcPr>
          <w:p>
            <w:pPr>
              <w:pStyle w:val="3"/>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continue"/>
            <w:noWrap/>
            <w:tcMar>
              <w:top w:w="17" w:type="dxa"/>
              <w:left w:w="17" w:type="dxa"/>
              <w:bottom w:w="0" w:type="dxa"/>
              <w:right w:w="17" w:type="dxa"/>
            </w:tcMar>
            <w:vAlign w:val="center"/>
          </w:tcPr>
          <w:p>
            <w:pPr>
              <w:pStyle w:val="3"/>
              <w:ind w:firstLine="0" w:firstLineChars="0"/>
              <w:jc w:val="center"/>
              <w:rPr>
                <w:sz w:val="24"/>
              </w:rPr>
            </w:pP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观音山物流基地</w:t>
            </w:r>
          </w:p>
        </w:tc>
        <w:tc>
          <w:tcPr>
            <w:tcW w:w="2751" w:type="pct"/>
            <w:vAlign w:val="center"/>
          </w:tcPr>
          <w:p>
            <w:pPr>
              <w:pStyle w:val="3"/>
              <w:ind w:firstLine="0" w:firstLineChars="0"/>
              <w:jc w:val="center"/>
              <w:rPr>
                <w:sz w:val="24"/>
              </w:rPr>
            </w:pPr>
            <w:r>
              <w:rPr>
                <w:rFonts w:hint="eastAsia"/>
                <w:sz w:val="24"/>
              </w:rPr>
              <w:t>茂盛路→泉三高速→观音山山麓→南安大道→漳肖泉铁路→坝兜东侧→檀溪→南安大道</w:t>
            </w:r>
          </w:p>
        </w:tc>
        <w:tc>
          <w:tcPr>
            <w:tcW w:w="667" w:type="pct"/>
            <w:vMerge w:val="continue"/>
            <w:noWrap/>
            <w:tcMar>
              <w:top w:w="17" w:type="dxa"/>
              <w:left w:w="17" w:type="dxa"/>
              <w:bottom w:w="0" w:type="dxa"/>
              <w:right w:w="17" w:type="dxa"/>
            </w:tcMar>
            <w:vAlign w:val="center"/>
          </w:tcPr>
          <w:p>
            <w:pPr>
              <w:pStyle w:val="3"/>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restart"/>
            <w:noWrap/>
            <w:tcMar>
              <w:top w:w="17" w:type="dxa"/>
              <w:left w:w="17" w:type="dxa"/>
              <w:bottom w:w="0" w:type="dxa"/>
              <w:right w:w="17" w:type="dxa"/>
            </w:tcMar>
            <w:vAlign w:val="center"/>
          </w:tcPr>
          <w:p>
            <w:pPr>
              <w:pStyle w:val="3"/>
              <w:ind w:firstLine="0" w:firstLineChars="0"/>
              <w:jc w:val="center"/>
              <w:rPr>
                <w:sz w:val="24"/>
              </w:rPr>
            </w:pPr>
            <w:r>
              <w:rPr>
                <w:sz w:val="24"/>
              </w:rPr>
              <w:t>4a类区</w:t>
            </w:r>
          </w:p>
        </w:tc>
        <w:tc>
          <w:tcPr>
            <w:tcW w:w="1084" w:type="pct"/>
            <w:noWrap/>
            <w:tcMar>
              <w:top w:w="17" w:type="dxa"/>
              <w:left w:w="17" w:type="dxa"/>
              <w:bottom w:w="0" w:type="dxa"/>
              <w:right w:w="17" w:type="dxa"/>
            </w:tcMar>
            <w:vAlign w:val="center"/>
          </w:tcPr>
          <w:p>
            <w:pPr>
              <w:pStyle w:val="3"/>
              <w:ind w:firstLine="0" w:firstLineChars="0"/>
              <w:jc w:val="center"/>
              <w:rPr>
                <w:sz w:val="24"/>
              </w:rPr>
            </w:pPr>
            <w:r>
              <w:rPr>
                <w:sz w:val="24"/>
              </w:rPr>
              <w:t>高速</w:t>
            </w:r>
            <w:r>
              <w:rPr>
                <w:rFonts w:hint="eastAsia"/>
                <w:sz w:val="24"/>
              </w:rPr>
              <w:t>公路</w:t>
            </w:r>
            <w:r>
              <w:rPr>
                <w:sz w:val="24"/>
              </w:rPr>
              <w:t>两侧区域</w:t>
            </w:r>
          </w:p>
        </w:tc>
        <w:tc>
          <w:tcPr>
            <w:tcW w:w="2751" w:type="pct"/>
            <w:vAlign w:val="center"/>
          </w:tcPr>
          <w:p>
            <w:pPr>
              <w:pStyle w:val="3"/>
              <w:ind w:firstLine="0" w:firstLineChars="0"/>
              <w:jc w:val="center"/>
              <w:rPr>
                <w:sz w:val="24"/>
              </w:rPr>
            </w:pPr>
            <w:r>
              <w:rPr>
                <w:rFonts w:hint="eastAsia"/>
                <w:sz w:val="24"/>
              </w:rPr>
              <w:t>已建高速：泉三高速南安至安溪连接线（双安高速）、泉南高速南安段（泉三高速）、南惠高速、南石高速</w:t>
            </w:r>
          </w:p>
          <w:p>
            <w:pPr>
              <w:pStyle w:val="3"/>
              <w:ind w:firstLine="0" w:firstLineChars="0"/>
              <w:jc w:val="center"/>
              <w:rPr>
                <w:sz w:val="24"/>
              </w:rPr>
            </w:pPr>
            <w:r>
              <w:rPr>
                <w:rFonts w:hint="eastAsia"/>
                <w:sz w:val="24"/>
              </w:rPr>
              <w:t>规划高速：南同高速、泉三高速复线</w:t>
            </w:r>
          </w:p>
        </w:tc>
        <w:tc>
          <w:tcPr>
            <w:tcW w:w="667" w:type="pct"/>
            <w:vMerge w:val="restart"/>
            <w:noWrap/>
            <w:tcMar>
              <w:top w:w="17" w:type="dxa"/>
              <w:left w:w="17" w:type="dxa"/>
              <w:bottom w:w="0" w:type="dxa"/>
              <w:right w:w="17" w:type="dxa"/>
            </w:tcMar>
            <w:vAlign w:val="center"/>
          </w:tcPr>
          <w:p>
            <w:pPr>
              <w:pStyle w:val="3"/>
              <w:ind w:firstLine="0" w:firstLineChars="0"/>
              <w:jc w:val="center"/>
              <w:rPr>
                <w:sz w:val="24"/>
              </w:rPr>
            </w:pPr>
            <w:r>
              <w:rPr>
                <w:sz w:val="24"/>
              </w:rPr>
              <w:t>昼间≤70dB</w:t>
            </w:r>
            <w:r>
              <w:rPr>
                <w:rFonts w:hint="eastAsia"/>
                <w:sz w:val="24"/>
              </w:rPr>
              <w:t>(A)</w:t>
            </w:r>
          </w:p>
          <w:p>
            <w:pPr>
              <w:pStyle w:val="3"/>
              <w:ind w:firstLine="0" w:firstLineChars="0"/>
              <w:jc w:val="center"/>
              <w:rPr>
                <w:sz w:val="24"/>
              </w:rPr>
            </w:pPr>
            <w:r>
              <w:rPr>
                <w:sz w:val="24"/>
              </w:rPr>
              <w:t>夜间≤55dB</w:t>
            </w:r>
            <w:r>
              <w:rPr>
                <w:rFonts w:hint="eastAsia"/>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continue"/>
            <w:noWrap/>
            <w:tcMar>
              <w:top w:w="17" w:type="dxa"/>
              <w:left w:w="17" w:type="dxa"/>
              <w:bottom w:w="0" w:type="dxa"/>
              <w:right w:w="17" w:type="dxa"/>
            </w:tcMar>
            <w:vAlign w:val="center"/>
          </w:tcPr>
          <w:p>
            <w:pPr>
              <w:pStyle w:val="3"/>
              <w:ind w:firstLine="0" w:firstLineChars="0"/>
              <w:jc w:val="center"/>
              <w:rPr>
                <w:sz w:val="24"/>
              </w:rPr>
            </w:pP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城市快速路</w:t>
            </w:r>
            <w:r>
              <w:rPr>
                <w:sz w:val="24"/>
              </w:rPr>
              <w:t>两侧区域</w:t>
            </w:r>
          </w:p>
        </w:tc>
        <w:tc>
          <w:tcPr>
            <w:tcW w:w="2751" w:type="pct"/>
            <w:vAlign w:val="center"/>
          </w:tcPr>
          <w:p>
            <w:pPr>
              <w:pStyle w:val="3"/>
              <w:ind w:firstLine="0" w:firstLineChars="0"/>
              <w:jc w:val="center"/>
              <w:rPr>
                <w:sz w:val="24"/>
              </w:rPr>
            </w:pPr>
            <w:r>
              <w:rPr>
                <w:rFonts w:hint="eastAsia"/>
                <w:sz w:val="24"/>
              </w:rPr>
              <w:t>快北环线、茂盛路、快西环线、快南环线、泉州三环、创业路、滨江大道、东西大道、联十一线</w:t>
            </w:r>
          </w:p>
        </w:tc>
        <w:tc>
          <w:tcPr>
            <w:tcW w:w="667" w:type="pct"/>
            <w:vMerge w:val="continue"/>
            <w:noWrap/>
            <w:tcMar>
              <w:top w:w="17" w:type="dxa"/>
              <w:left w:w="17" w:type="dxa"/>
              <w:bottom w:w="0" w:type="dxa"/>
              <w:right w:w="17" w:type="dxa"/>
            </w:tcMar>
            <w:vAlign w:val="center"/>
          </w:tcPr>
          <w:p>
            <w:pPr>
              <w:pStyle w:val="3"/>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continue"/>
            <w:noWrap/>
            <w:tcMar>
              <w:top w:w="17" w:type="dxa"/>
              <w:left w:w="17" w:type="dxa"/>
              <w:bottom w:w="0" w:type="dxa"/>
              <w:right w:w="17" w:type="dxa"/>
            </w:tcMar>
            <w:vAlign w:val="center"/>
          </w:tcPr>
          <w:p>
            <w:pPr>
              <w:pStyle w:val="3"/>
              <w:ind w:firstLine="0" w:firstLineChars="0"/>
              <w:jc w:val="center"/>
              <w:rPr>
                <w:sz w:val="24"/>
              </w:rPr>
            </w:pP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城市主干路</w:t>
            </w:r>
            <w:r>
              <w:rPr>
                <w:sz w:val="24"/>
              </w:rPr>
              <w:t>两侧区域</w:t>
            </w:r>
          </w:p>
        </w:tc>
        <w:tc>
          <w:tcPr>
            <w:tcW w:w="2751" w:type="pct"/>
            <w:vAlign w:val="center"/>
          </w:tcPr>
          <w:p>
            <w:pPr>
              <w:pStyle w:val="3"/>
              <w:ind w:firstLine="0" w:firstLineChars="0"/>
              <w:jc w:val="center"/>
              <w:rPr>
                <w:sz w:val="24"/>
              </w:rPr>
            </w:pPr>
            <w:r>
              <w:rPr>
                <w:rFonts w:hint="eastAsia"/>
                <w:sz w:val="24"/>
              </w:rPr>
              <w:t>外环南路、S308、茂祥路、南洪路、S307、兰溪路、江滨南路、奉新路、普莲路、成功街、崎峰大道、南官公路、学园中路、创意大道、内环北路、南金路、成功大道、江北大道、柳南路、南安大道、柳美北路、柳美南路、会展东路、南北大道、外环线、洪霞路、福金路</w:t>
            </w:r>
          </w:p>
        </w:tc>
        <w:tc>
          <w:tcPr>
            <w:tcW w:w="667" w:type="pct"/>
            <w:vMerge w:val="continue"/>
            <w:noWrap/>
            <w:tcMar>
              <w:top w:w="17" w:type="dxa"/>
              <w:left w:w="17" w:type="dxa"/>
              <w:bottom w:w="0" w:type="dxa"/>
              <w:right w:w="17" w:type="dxa"/>
            </w:tcMar>
            <w:vAlign w:val="center"/>
          </w:tcPr>
          <w:p>
            <w:pPr>
              <w:pStyle w:val="3"/>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continue"/>
            <w:noWrap/>
            <w:tcMar>
              <w:top w:w="17" w:type="dxa"/>
              <w:left w:w="17" w:type="dxa"/>
              <w:bottom w:w="0" w:type="dxa"/>
              <w:right w:w="17" w:type="dxa"/>
            </w:tcMar>
            <w:vAlign w:val="center"/>
          </w:tcPr>
          <w:p>
            <w:pPr>
              <w:pStyle w:val="3"/>
              <w:ind w:firstLine="0" w:firstLineChars="0"/>
              <w:jc w:val="center"/>
              <w:rPr>
                <w:sz w:val="24"/>
              </w:rPr>
            </w:pP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城市次干路</w:t>
            </w:r>
            <w:r>
              <w:rPr>
                <w:sz w:val="24"/>
              </w:rPr>
              <w:t>两侧区域</w:t>
            </w:r>
          </w:p>
        </w:tc>
        <w:tc>
          <w:tcPr>
            <w:tcW w:w="2751" w:type="pct"/>
            <w:vAlign w:val="center"/>
          </w:tcPr>
          <w:p>
            <w:pPr>
              <w:pStyle w:val="3"/>
              <w:ind w:firstLine="0" w:firstLineChars="0"/>
              <w:jc w:val="center"/>
              <w:rPr>
                <w:sz w:val="24"/>
              </w:rPr>
            </w:pPr>
            <w:r>
              <w:rPr>
                <w:rFonts w:hint="eastAsia"/>
                <w:sz w:val="24"/>
              </w:rPr>
              <w:t>191乡道、336县道、创造路、创新路、金河大道、南门街、金源路、新华南路、环城西路、新华街、柳城路、滨江路、溪美街、329县道、茂庆东路、茂华路、福昌路、江滨路、东三路、榕桥大道、工业大道、丰州一路、丰州二路、丰州三路、桃源西路、埔头西路、美林路、堤后路、彭埔路、新美路</w:t>
            </w:r>
          </w:p>
        </w:tc>
        <w:tc>
          <w:tcPr>
            <w:tcW w:w="667" w:type="pct"/>
            <w:vMerge w:val="continue"/>
            <w:noWrap/>
            <w:tcMar>
              <w:top w:w="17" w:type="dxa"/>
              <w:left w:w="17" w:type="dxa"/>
              <w:bottom w:w="0" w:type="dxa"/>
              <w:right w:w="17" w:type="dxa"/>
            </w:tcMar>
            <w:vAlign w:val="center"/>
          </w:tcPr>
          <w:p>
            <w:pPr>
              <w:pStyle w:val="3"/>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restart"/>
            <w:noWrap/>
            <w:tcMar>
              <w:top w:w="17" w:type="dxa"/>
              <w:left w:w="17" w:type="dxa"/>
              <w:bottom w:w="0" w:type="dxa"/>
              <w:right w:w="17" w:type="dxa"/>
            </w:tcMar>
            <w:vAlign w:val="center"/>
          </w:tcPr>
          <w:p>
            <w:pPr>
              <w:pStyle w:val="3"/>
              <w:ind w:firstLine="0" w:firstLineChars="0"/>
              <w:jc w:val="center"/>
              <w:rPr>
                <w:sz w:val="24"/>
              </w:rPr>
            </w:pPr>
            <w:r>
              <w:rPr>
                <w:sz w:val="24"/>
              </w:rPr>
              <w:t>4</w:t>
            </w:r>
            <w:r>
              <w:rPr>
                <w:rFonts w:hint="eastAsia"/>
                <w:sz w:val="24"/>
              </w:rPr>
              <w:t>b类</w:t>
            </w:r>
          </w:p>
        </w:tc>
        <w:tc>
          <w:tcPr>
            <w:tcW w:w="1084" w:type="pct"/>
            <w:noWrap/>
            <w:tcMar>
              <w:top w:w="17" w:type="dxa"/>
              <w:left w:w="17" w:type="dxa"/>
              <w:bottom w:w="0" w:type="dxa"/>
              <w:right w:w="17" w:type="dxa"/>
            </w:tcMar>
            <w:vAlign w:val="center"/>
          </w:tcPr>
          <w:p>
            <w:pPr>
              <w:pStyle w:val="3"/>
              <w:ind w:firstLine="0" w:firstLineChars="0"/>
              <w:jc w:val="center"/>
              <w:rPr>
                <w:sz w:val="24"/>
              </w:rPr>
            </w:pPr>
            <w:r>
              <w:rPr>
                <w:sz w:val="24"/>
              </w:rPr>
              <w:t>既有铁路干线两侧区域</w:t>
            </w:r>
          </w:p>
        </w:tc>
        <w:tc>
          <w:tcPr>
            <w:tcW w:w="2751" w:type="pct"/>
            <w:vAlign w:val="center"/>
          </w:tcPr>
          <w:p>
            <w:pPr>
              <w:pStyle w:val="3"/>
              <w:ind w:firstLine="0" w:firstLineChars="0"/>
              <w:jc w:val="center"/>
              <w:rPr>
                <w:sz w:val="24"/>
              </w:rPr>
            </w:pPr>
            <w:r>
              <w:rPr>
                <w:rFonts w:hint="eastAsia"/>
                <w:sz w:val="24"/>
              </w:rPr>
              <w:t>漳泉肖铁路、福厦铁路</w:t>
            </w:r>
          </w:p>
        </w:tc>
        <w:tc>
          <w:tcPr>
            <w:tcW w:w="667" w:type="pct"/>
            <w:vMerge w:val="restart"/>
            <w:noWrap/>
            <w:tcMar>
              <w:top w:w="17" w:type="dxa"/>
              <w:left w:w="17" w:type="dxa"/>
              <w:bottom w:w="0" w:type="dxa"/>
              <w:right w:w="17" w:type="dxa"/>
            </w:tcMar>
            <w:vAlign w:val="center"/>
          </w:tcPr>
          <w:p>
            <w:pPr>
              <w:pStyle w:val="3"/>
              <w:ind w:firstLine="0" w:firstLineChars="0"/>
              <w:jc w:val="center"/>
              <w:rPr>
                <w:sz w:val="24"/>
              </w:rPr>
            </w:pPr>
            <w:r>
              <w:rPr>
                <w:sz w:val="24"/>
              </w:rPr>
              <w:t>昼间≤70dB</w:t>
            </w:r>
            <w:r>
              <w:rPr>
                <w:rFonts w:hint="eastAsia"/>
                <w:sz w:val="24"/>
              </w:rPr>
              <w:t>(A)</w:t>
            </w:r>
          </w:p>
          <w:p>
            <w:pPr>
              <w:pStyle w:val="3"/>
              <w:ind w:firstLine="0" w:firstLineChars="0"/>
              <w:jc w:val="center"/>
              <w:rPr>
                <w:sz w:val="24"/>
              </w:rPr>
            </w:pPr>
            <w:r>
              <w:rPr>
                <w:sz w:val="24"/>
              </w:rPr>
              <w:t>夜间≤60dB</w:t>
            </w:r>
            <w:r>
              <w:rPr>
                <w:rFonts w:hint="eastAsia"/>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 w:hRule="atLeast"/>
          <w:jc w:val="center"/>
        </w:trPr>
        <w:tc>
          <w:tcPr>
            <w:tcW w:w="498" w:type="pct"/>
            <w:vMerge w:val="continue"/>
            <w:noWrap/>
            <w:tcMar>
              <w:top w:w="17" w:type="dxa"/>
              <w:left w:w="17" w:type="dxa"/>
              <w:bottom w:w="0" w:type="dxa"/>
              <w:right w:w="17" w:type="dxa"/>
            </w:tcMar>
            <w:vAlign w:val="center"/>
          </w:tcPr>
          <w:p>
            <w:pPr>
              <w:pStyle w:val="3"/>
              <w:ind w:firstLine="0" w:firstLineChars="0"/>
              <w:jc w:val="center"/>
              <w:rPr>
                <w:sz w:val="24"/>
              </w:rPr>
            </w:pPr>
          </w:p>
        </w:tc>
        <w:tc>
          <w:tcPr>
            <w:tcW w:w="1084" w:type="pct"/>
            <w:noWrap/>
            <w:tcMar>
              <w:top w:w="17" w:type="dxa"/>
              <w:left w:w="17" w:type="dxa"/>
              <w:bottom w:w="0" w:type="dxa"/>
              <w:right w:w="17" w:type="dxa"/>
            </w:tcMar>
            <w:vAlign w:val="center"/>
          </w:tcPr>
          <w:p>
            <w:pPr>
              <w:pStyle w:val="3"/>
              <w:ind w:firstLine="0" w:firstLineChars="0"/>
              <w:jc w:val="center"/>
              <w:rPr>
                <w:sz w:val="24"/>
              </w:rPr>
            </w:pPr>
            <w:r>
              <w:rPr>
                <w:rFonts w:hint="eastAsia"/>
                <w:sz w:val="24"/>
              </w:rPr>
              <w:t>新建铁路干线两侧区域</w:t>
            </w:r>
          </w:p>
        </w:tc>
        <w:tc>
          <w:tcPr>
            <w:tcW w:w="2751" w:type="pct"/>
            <w:vAlign w:val="center"/>
          </w:tcPr>
          <w:p>
            <w:pPr>
              <w:pStyle w:val="3"/>
              <w:ind w:firstLine="0" w:firstLineChars="0"/>
              <w:jc w:val="center"/>
              <w:rPr>
                <w:sz w:val="24"/>
              </w:rPr>
            </w:pPr>
            <w:r>
              <w:rPr>
                <w:rFonts w:hint="eastAsia"/>
                <w:sz w:val="24"/>
              </w:rPr>
              <w:t>兴泉铁路</w:t>
            </w:r>
          </w:p>
        </w:tc>
        <w:tc>
          <w:tcPr>
            <w:tcW w:w="667" w:type="pct"/>
            <w:vMerge w:val="continue"/>
            <w:noWrap/>
            <w:tcMar>
              <w:top w:w="17" w:type="dxa"/>
              <w:left w:w="17" w:type="dxa"/>
              <w:bottom w:w="0" w:type="dxa"/>
              <w:right w:w="17" w:type="dxa"/>
            </w:tcMar>
            <w:vAlign w:val="center"/>
          </w:tcPr>
          <w:p>
            <w:pPr>
              <w:pStyle w:val="3"/>
              <w:ind w:firstLine="0" w:firstLineChars="0"/>
              <w:jc w:val="center"/>
              <w:rPr>
                <w:sz w:val="24"/>
              </w:rPr>
            </w:pPr>
          </w:p>
        </w:tc>
      </w:tr>
    </w:tbl>
    <w:p>
      <w:pPr>
        <w:pStyle w:val="3"/>
        <w:rPr>
          <w:sz w:val="21"/>
        </w:rPr>
      </w:pPr>
      <w:r>
        <w:rPr>
          <w:rFonts w:hint="eastAsia"/>
          <w:sz w:val="21"/>
        </w:rPr>
        <w:t>注：既有铁路(漳泉肖铁路、福厦铁路)干线两侧区域不通过列车时的环境背景噪声限制，按昼间70dB（A）、夜间55 dB（A）执行。</w:t>
      </w:r>
    </w:p>
    <w:p>
      <w:pPr>
        <w:pStyle w:val="3"/>
        <w:rPr>
          <w:sz w:val="21"/>
        </w:rPr>
      </w:pPr>
    </w:p>
    <w:p>
      <w:pPr>
        <w:pStyle w:val="13"/>
        <w:spacing w:before="0" w:after="0" w:line="560" w:lineRule="exact"/>
        <w:ind w:firstLine="560"/>
        <w:jc w:val="both"/>
        <w:rPr>
          <w:b w:val="0"/>
        </w:rPr>
      </w:pPr>
      <w:r>
        <w:rPr>
          <w:rFonts w:eastAsia="仿宋_GB2312"/>
          <w:bCs/>
          <w:sz w:val="28"/>
        </w:rPr>
        <w:t>6、其它</w:t>
      </w:r>
      <w:r>
        <w:rPr>
          <w:rFonts w:hint="eastAsia" w:eastAsia="仿宋_GB2312"/>
          <w:bCs/>
          <w:sz w:val="28"/>
        </w:rPr>
        <w:t>规定</w:t>
      </w:r>
    </w:p>
    <w:p>
      <w:pPr>
        <w:pStyle w:val="3"/>
        <w:spacing w:line="560" w:lineRule="exact"/>
        <w:ind w:firstLine="560"/>
      </w:pPr>
      <w:r>
        <w:rPr>
          <w:rFonts w:hint="eastAsia"/>
        </w:rPr>
        <w:t>位于划分为2类声环境功能区的部分工业区内的工业企业，区划实施之前通过环境影响评价审批的工业企业执行3类声环境功能区标准，实施之后通过审批的工业企业执行划分的声环境功能区标准。</w:t>
      </w:r>
    </w:p>
    <w:p>
      <w:pPr>
        <w:pStyle w:val="3"/>
        <w:spacing w:line="560" w:lineRule="exact"/>
        <w:ind w:firstLine="560"/>
      </w:pPr>
    </w:p>
    <w:p>
      <w:pPr>
        <w:pStyle w:val="3"/>
        <w:spacing w:line="560" w:lineRule="exact"/>
        <w:ind w:firstLine="560"/>
      </w:pPr>
      <w:r>
        <w:t>《</w:t>
      </w:r>
      <w:r>
        <w:rPr>
          <w:rFonts w:hint="eastAsia"/>
        </w:rPr>
        <w:t>南安市中心城区声环境功能区划分》</w:t>
      </w:r>
      <w:r>
        <w:t>自</w:t>
      </w:r>
      <w:r>
        <w:rPr>
          <w:rFonts w:hint="eastAsia"/>
        </w:rPr>
        <w:t>公布</w:t>
      </w:r>
      <w:r>
        <w:t>之日起施行</w:t>
      </w:r>
      <w:r>
        <w:rPr>
          <w:rFonts w:hint="eastAsia"/>
        </w:rPr>
        <w:t>，</w:t>
      </w:r>
      <w:r>
        <w:t>《</w:t>
      </w:r>
      <w:r>
        <w:rPr>
          <w:rFonts w:hint="eastAsia"/>
        </w:rPr>
        <w:t>南安市中心城区声环境功能区划分》文本、附图经批准后均为有效文件。</w:t>
      </w:r>
    </w:p>
    <w:p>
      <w:pPr>
        <w:pStyle w:val="3"/>
        <w:spacing w:line="560" w:lineRule="exact"/>
        <w:ind w:firstLine="560"/>
        <w:rPr>
          <w:rFonts w:hint="eastAsia"/>
        </w:rPr>
      </w:pPr>
      <w:r>
        <w:t>本</w:t>
      </w:r>
      <w:r>
        <w:rPr>
          <w:rFonts w:hint="eastAsia"/>
        </w:rPr>
        <w:t>功能</w:t>
      </w:r>
      <w:r>
        <w:t>区划由</w:t>
      </w:r>
      <w:r>
        <w:rPr>
          <w:rFonts w:hint="eastAsia"/>
        </w:rPr>
        <w:t>南安市</w:t>
      </w:r>
      <w:r>
        <w:t>环境保护局负责解释</w:t>
      </w:r>
      <w:r>
        <w:rPr>
          <w:rFonts w:hint="eastAsia"/>
        </w:rPr>
        <w:t>。</w:t>
      </w:r>
    </w:p>
    <w:p>
      <w:pPr>
        <w:pStyle w:val="3"/>
        <w:spacing w:line="560" w:lineRule="exact"/>
        <w:ind w:firstLine="560"/>
        <w:rPr>
          <w:rFonts w:hint="eastAsia"/>
        </w:rPr>
      </w:pPr>
    </w:p>
    <w:p>
      <w:pPr>
        <w:pStyle w:val="3"/>
        <w:spacing w:line="560" w:lineRule="exact"/>
        <w:ind w:firstLine="560"/>
        <w:rPr>
          <w:rFonts w:hint="eastAsia"/>
        </w:rPr>
      </w:pPr>
    </w:p>
    <w:p>
      <w:pPr>
        <w:pStyle w:val="3"/>
        <w:spacing w:line="560" w:lineRule="exact"/>
        <w:ind w:firstLine="560"/>
        <w:sectPr>
          <w:pgSz w:w="11906" w:h="16838"/>
          <w:pgMar w:top="1440" w:right="1800" w:bottom="1440" w:left="1800" w:header="851" w:footer="992" w:gutter="0"/>
          <w:cols w:space="425" w:num="1"/>
          <w:docGrid w:type="lines" w:linePitch="312" w:charSpace="0"/>
        </w:sectPr>
      </w:pPr>
    </w:p>
    <w:p>
      <w:pPr>
        <w:pStyle w:val="3"/>
        <w:ind w:firstLine="0" w:firstLineChars="0"/>
        <w:jc w:val="center"/>
      </w:pPr>
      <w:bookmarkStart w:id="0" w:name="_GoBack"/>
      <w:r>
        <w:drawing>
          <wp:inline distT="0" distB="0" distL="0" distR="0">
            <wp:extent cx="8105775" cy="5724525"/>
            <wp:effectExtent l="19050" t="0" r="9525" b="0"/>
            <wp:docPr id="1" name="图片 1" descr="C:\Users\Administrator\Desktop\2018\大气污染防治\声环境\1430729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18\大气污染防治\声环境\1430729660.jpg"/>
                    <pic:cNvPicPr>
                      <a:picLocks noChangeAspect="1" noChangeArrowheads="1"/>
                    </pic:cNvPicPr>
                  </pic:nvPicPr>
                  <pic:blipFill>
                    <a:blip r:embed="rId10" cstate="print"/>
                    <a:srcRect/>
                    <a:stretch>
                      <a:fillRect/>
                    </a:stretch>
                  </pic:blipFill>
                  <pic:spPr>
                    <a:xfrm>
                      <a:off x="0" y="0"/>
                      <a:ext cx="8109874" cy="5727599"/>
                    </a:xfrm>
                    <a:prstGeom prst="rect">
                      <a:avLst/>
                    </a:prstGeom>
                    <a:noFill/>
                    <a:ln w="9525">
                      <a:noFill/>
                      <a:miter lim="800000"/>
                      <a:headEnd/>
                      <a:tailEnd/>
                    </a:ln>
                  </pic:spPr>
                </pic:pic>
              </a:graphicData>
            </a:graphic>
          </wp:inline>
        </w:drawing>
      </w:r>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5"/>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72326"/>
    <w:multiLevelType w:val="multilevel"/>
    <w:tmpl w:val="3A272326"/>
    <w:lvl w:ilvl="0" w:tentative="0">
      <w:start w:val="1"/>
      <w:numFmt w:val="decimal"/>
      <w:lvlText w:val="（%1）."/>
      <w:lvlJc w:val="left"/>
      <w:pPr>
        <w:ind w:left="980" w:hanging="420"/>
      </w:pPr>
      <w:rPr>
        <w:rFonts w:hint="eastAsia"/>
      </w:rPr>
    </w:lvl>
    <w:lvl w:ilvl="1" w:tentative="0">
      <w:start w:val="1"/>
      <w:numFmt w:val="decimal"/>
      <w:suff w:val="space"/>
      <w:lvlText w:val="（%2）"/>
      <w:lvlJc w:val="left"/>
      <w:pPr>
        <w:ind w:left="840" w:hanging="84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97"/>
    <w:rsid w:val="00012589"/>
    <w:rsid w:val="0002361B"/>
    <w:rsid w:val="00045C4B"/>
    <w:rsid w:val="00051B01"/>
    <w:rsid w:val="00052050"/>
    <w:rsid w:val="00056C86"/>
    <w:rsid w:val="000600DD"/>
    <w:rsid w:val="0006627A"/>
    <w:rsid w:val="00077562"/>
    <w:rsid w:val="00082C9F"/>
    <w:rsid w:val="00083C06"/>
    <w:rsid w:val="000B2DA3"/>
    <w:rsid w:val="000B5593"/>
    <w:rsid w:val="000C2A69"/>
    <w:rsid w:val="000C50FF"/>
    <w:rsid w:val="000C7077"/>
    <w:rsid w:val="000D714C"/>
    <w:rsid w:val="000E017F"/>
    <w:rsid w:val="001005A8"/>
    <w:rsid w:val="00106F6A"/>
    <w:rsid w:val="00110D80"/>
    <w:rsid w:val="00112D61"/>
    <w:rsid w:val="00122B11"/>
    <w:rsid w:val="00151EF3"/>
    <w:rsid w:val="00153233"/>
    <w:rsid w:val="001713B4"/>
    <w:rsid w:val="001760EC"/>
    <w:rsid w:val="00177678"/>
    <w:rsid w:val="001919AC"/>
    <w:rsid w:val="0019441C"/>
    <w:rsid w:val="001A4BFE"/>
    <w:rsid w:val="001A554F"/>
    <w:rsid w:val="001A5BFC"/>
    <w:rsid w:val="001A6B9B"/>
    <w:rsid w:val="001B441C"/>
    <w:rsid w:val="001B4995"/>
    <w:rsid w:val="001B703C"/>
    <w:rsid w:val="001C3E80"/>
    <w:rsid w:val="001D128B"/>
    <w:rsid w:val="001D62A8"/>
    <w:rsid w:val="001F16D1"/>
    <w:rsid w:val="001F5609"/>
    <w:rsid w:val="001F695C"/>
    <w:rsid w:val="001F7759"/>
    <w:rsid w:val="0020208E"/>
    <w:rsid w:val="002270EA"/>
    <w:rsid w:val="0023011E"/>
    <w:rsid w:val="00230B0B"/>
    <w:rsid w:val="00234725"/>
    <w:rsid w:val="00236389"/>
    <w:rsid w:val="00237662"/>
    <w:rsid w:val="00253896"/>
    <w:rsid w:val="00254A88"/>
    <w:rsid w:val="00265F07"/>
    <w:rsid w:val="00277FAA"/>
    <w:rsid w:val="002848F4"/>
    <w:rsid w:val="002A433A"/>
    <w:rsid w:val="002B1836"/>
    <w:rsid w:val="002B5049"/>
    <w:rsid w:val="002C150C"/>
    <w:rsid w:val="002D2F99"/>
    <w:rsid w:val="002E68BC"/>
    <w:rsid w:val="002F3EBC"/>
    <w:rsid w:val="003010A7"/>
    <w:rsid w:val="00302397"/>
    <w:rsid w:val="0032028B"/>
    <w:rsid w:val="00320E66"/>
    <w:rsid w:val="0032652E"/>
    <w:rsid w:val="00327EF6"/>
    <w:rsid w:val="003321D1"/>
    <w:rsid w:val="0033509B"/>
    <w:rsid w:val="003416F4"/>
    <w:rsid w:val="00355B6E"/>
    <w:rsid w:val="00363EC3"/>
    <w:rsid w:val="003700F1"/>
    <w:rsid w:val="003922EB"/>
    <w:rsid w:val="00395EF2"/>
    <w:rsid w:val="003A5E12"/>
    <w:rsid w:val="003A5ED8"/>
    <w:rsid w:val="003B3B07"/>
    <w:rsid w:val="003B77EE"/>
    <w:rsid w:val="003C0808"/>
    <w:rsid w:val="003D5C54"/>
    <w:rsid w:val="003F3589"/>
    <w:rsid w:val="00412A8B"/>
    <w:rsid w:val="00415CB6"/>
    <w:rsid w:val="0041686A"/>
    <w:rsid w:val="0042034F"/>
    <w:rsid w:val="00421722"/>
    <w:rsid w:val="004261CD"/>
    <w:rsid w:val="00434D06"/>
    <w:rsid w:val="00437560"/>
    <w:rsid w:val="004540F6"/>
    <w:rsid w:val="0045514D"/>
    <w:rsid w:val="00457BE9"/>
    <w:rsid w:val="00462E41"/>
    <w:rsid w:val="00483E43"/>
    <w:rsid w:val="00485325"/>
    <w:rsid w:val="00490ACC"/>
    <w:rsid w:val="004A48A7"/>
    <w:rsid w:val="004A7BC4"/>
    <w:rsid w:val="004B255C"/>
    <w:rsid w:val="004B3762"/>
    <w:rsid w:val="004D045F"/>
    <w:rsid w:val="004D3BB7"/>
    <w:rsid w:val="004D45C8"/>
    <w:rsid w:val="004E472B"/>
    <w:rsid w:val="004F1E59"/>
    <w:rsid w:val="004F4FFB"/>
    <w:rsid w:val="004F5F74"/>
    <w:rsid w:val="005025A3"/>
    <w:rsid w:val="00504454"/>
    <w:rsid w:val="00522A7F"/>
    <w:rsid w:val="0052464C"/>
    <w:rsid w:val="00524D6B"/>
    <w:rsid w:val="00546FD1"/>
    <w:rsid w:val="00566834"/>
    <w:rsid w:val="00577E3B"/>
    <w:rsid w:val="00590A23"/>
    <w:rsid w:val="00595C75"/>
    <w:rsid w:val="005A155A"/>
    <w:rsid w:val="005A46DE"/>
    <w:rsid w:val="005B36DE"/>
    <w:rsid w:val="005E2467"/>
    <w:rsid w:val="005E3447"/>
    <w:rsid w:val="005F319A"/>
    <w:rsid w:val="005F45C4"/>
    <w:rsid w:val="005F4BFF"/>
    <w:rsid w:val="005F50F6"/>
    <w:rsid w:val="005F65AE"/>
    <w:rsid w:val="006007DB"/>
    <w:rsid w:val="00607B74"/>
    <w:rsid w:val="00607E04"/>
    <w:rsid w:val="006144DF"/>
    <w:rsid w:val="00636816"/>
    <w:rsid w:val="006467D4"/>
    <w:rsid w:val="0065371B"/>
    <w:rsid w:val="006613D4"/>
    <w:rsid w:val="0067298B"/>
    <w:rsid w:val="00692C7F"/>
    <w:rsid w:val="006B3198"/>
    <w:rsid w:val="006B5741"/>
    <w:rsid w:val="006B671F"/>
    <w:rsid w:val="006F61A3"/>
    <w:rsid w:val="007475EC"/>
    <w:rsid w:val="00753368"/>
    <w:rsid w:val="00753A97"/>
    <w:rsid w:val="007571C1"/>
    <w:rsid w:val="007606B6"/>
    <w:rsid w:val="007709F7"/>
    <w:rsid w:val="00773BF9"/>
    <w:rsid w:val="00794BF2"/>
    <w:rsid w:val="007977AD"/>
    <w:rsid w:val="007A00D6"/>
    <w:rsid w:val="007A0DCA"/>
    <w:rsid w:val="007B469D"/>
    <w:rsid w:val="007C3178"/>
    <w:rsid w:val="007D7F7C"/>
    <w:rsid w:val="007E1E2A"/>
    <w:rsid w:val="007F7815"/>
    <w:rsid w:val="008016E8"/>
    <w:rsid w:val="008024B1"/>
    <w:rsid w:val="0080381B"/>
    <w:rsid w:val="00811226"/>
    <w:rsid w:val="00831457"/>
    <w:rsid w:val="00843A0A"/>
    <w:rsid w:val="00852071"/>
    <w:rsid w:val="0085291B"/>
    <w:rsid w:val="008652D4"/>
    <w:rsid w:val="00880E1E"/>
    <w:rsid w:val="00881A27"/>
    <w:rsid w:val="008979CC"/>
    <w:rsid w:val="008B1222"/>
    <w:rsid w:val="008D360F"/>
    <w:rsid w:val="008E7B0D"/>
    <w:rsid w:val="00902182"/>
    <w:rsid w:val="00904C78"/>
    <w:rsid w:val="00911D60"/>
    <w:rsid w:val="00922125"/>
    <w:rsid w:val="00934BD3"/>
    <w:rsid w:val="00935E04"/>
    <w:rsid w:val="009377CD"/>
    <w:rsid w:val="00944E0A"/>
    <w:rsid w:val="00972771"/>
    <w:rsid w:val="009758A7"/>
    <w:rsid w:val="0097652D"/>
    <w:rsid w:val="00990DCC"/>
    <w:rsid w:val="009971C2"/>
    <w:rsid w:val="009A086F"/>
    <w:rsid w:val="009A3557"/>
    <w:rsid w:val="009A62F2"/>
    <w:rsid w:val="009B73AD"/>
    <w:rsid w:val="009C407A"/>
    <w:rsid w:val="009C7C07"/>
    <w:rsid w:val="009D1682"/>
    <w:rsid w:val="009F082D"/>
    <w:rsid w:val="009F1882"/>
    <w:rsid w:val="009F4EBB"/>
    <w:rsid w:val="00A06E08"/>
    <w:rsid w:val="00A2778E"/>
    <w:rsid w:val="00A27FB3"/>
    <w:rsid w:val="00A32154"/>
    <w:rsid w:val="00A73636"/>
    <w:rsid w:val="00A80E96"/>
    <w:rsid w:val="00A813E7"/>
    <w:rsid w:val="00A847BF"/>
    <w:rsid w:val="00A91F83"/>
    <w:rsid w:val="00A9505F"/>
    <w:rsid w:val="00AA0192"/>
    <w:rsid w:val="00AB0E8F"/>
    <w:rsid w:val="00AB481A"/>
    <w:rsid w:val="00AB74AE"/>
    <w:rsid w:val="00AC28E1"/>
    <w:rsid w:val="00AC7824"/>
    <w:rsid w:val="00AD4805"/>
    <w:rsid w:val="00AD4D08"/>
    <w:rsid w:val="00AE1FE1"/>
    <w:rsid w:val="00AE2AF5"/>
    <w:rsid w:val="00AF3824"/>
    <w:rsid w:val="00AF3CD8"/>
    <w:rsid w:val="00B061D3"/>
    <w:rsid w:val="00B0636A"/>
    <w:rsid w:val="00B079EA"/>
    <w:rsid w:val="00B12BCC"/>
    <w:rsid w:val="00B2268A"/>
    <w:rsid w:val="00B22F2F"/>
    <w:rsid w:val="00B262B0"/>
    <w:rsid w:val="00B34F8E"/>
    <w:rsid w:val="00B414FE"/>
    <w:rsid w:val="00B41C6F"/>
    <w:rsid w:val="00B4408E"/>
    <w:rsid w:val="00B61B9E"/>
    <w:rsid w:val="00B66EC0"/>
    <w:rsid w:val="00B85A0E"/>
    <w:rsid w:val="00B9485F"/>
    <w:rsid w:val="00BA0509"/>
    <w:rsid w:val="00BB2111"/>
    <w:rsid w:val="00BC0AB6"/>
    <w:rsid w:val="00BC263B"/>
    <w:rsid w:val="00BC5710"/>
    <w:rsid w:val="00BD5925"/>
    <w:rsid w:val="00BE7DAB"/>
    <w:rsid w:val="00BF0267"/>
    <w:rsid w:val="00C1686D"/>
    <w:rsid w:val="00C2710F"/>
    <w:rsid w:val="00C27F38"/>
    <w:rsid w:val="00C335F7"/>
    <w:rsid w:val="00C35C82"/>
    <w:rsid w:val="00C35D30"/>
    <w:rsid w:val="00C44188"/>
    <w:rsid w:val="00C472DB"/>
    <w:rsid w:val="00C51647"/>
    <w:rsid w:val="00C54629"/>
    <w:rsid w:val="00C54D24"/>
    <w:rsid w:val="00C57FD0"/>
    <w:rsid w:val="00C65C27"/>
    <w:rsid w:val="00C75773"/>
    <w:rsid w:val="00C82CEC"/>
    <w:rsid w:val="00CC2267"/>
    <w:rsid w:val="00CC6DDE"/>
    <w:rsid w:val="00CD57DF"/>
    <w:rsid w:val="00CE1AD5"/>
    <w:rsid w:val="00CE51D0"/>
    <w:rsid w:val="00CE7C20"/>
    <w:rsid w:val="00D0510E"/>
    <w:rsid w:val="00D24BF4"/>
    <w:rsid w:val="00D43A9D"/>
    <w:rsid w:val="00D509B9"/>
    <w:rsid w:val="00D57667"/>
    <w:rsid w:val="00D82F1D"/>
    <w:rsid w:val="00DA6C09"/>
    <w:rsid w:val="00DB39DB"/>
    <w:rsid w:val="00DB4FBD"/>
    <w:rsid w:val="00DC1092"/>
    <w:rsid w:val="00DD54C9"/>
    <w:rsid w:val="00DE61F4"/>
    <w:rsid w:val="00DF302B"/>
    <w:rsid w:val="00E365D5"/>
    <w:rsid w:val="00E37042"/>
    <w:rsid w:val="00E4001D"/>
    <w:rsid w:val="00E43F80"/>
    <w:rsid w:val="00E45764"/>
    <w:rsid w:val="00E53F32"/>
    <w:rsid w:val="00E65CC7"/>
    <w:rsid w:val="00E75B26"/>
    <w:rsid w:val="00E86DF8"/>
    <w:rsid w:val="00EA0132"/>
    <w:rsid w:val="00EA7A80"/>
    <w:rsid w:val="00EB348E"/>
    <w:rsid w:val="00EB7FFD"/>
    <w:rsid w:val="00ED3A7A"/>
    <w:rsid w:val="00ED76BE"/>
    <w:rsid w:val="00EF60F5"/>
    <w:rsid w:val="00F15E21"/>
    <w:rsid w:val="00F3246B"/>
    <w:rsid w:val="00F57EB9"/>
    <w:rsid w:val="00F6083D"/>
    <w:rsid w:val="00F63180"/>
    <w:rsid w:val="00F70716"/>
    <w:rsid w:val="00F7571A"/>
    <w:rsid w:val="00F82177"/>
    <w:rsid w:val="00F8354E"/>
    <w:rsid w:val="00F96739"/>
    <w:rsid w:val="00FB0159"/>
    <w:rsid w:val="00FB0EF3"/>
    <w:rsid w:val="00FB345B"/>
    <w:rsid w:val="00FD31BB"/>
    <w:rsid w:val="00FD4AD8"/>
    <w:rsid w:val="00FE262F"/>
    <w:rsid w:val="00FF5ED9"/>
    <w:rsid w:val="00FF6DDE"/>
    <w:rsid w:val="5775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420" w:firstLineChars="200"/>
    </w:pPr>
    <w:rPr>
      <w:rFonts w:ascii="Times New Roman" w:hAnsi="Times New Roman" w:eastAsia="仿宋_GB2312" w:cs="Times New Roman"/>
      <w:sz w:val="28"/>
      <w:szCs w:val="24"/>
    </w:rPr>
  </w:style>
  <w:style w:type="paragraph" w:styleId="4">
    <w:name w:val="Balloon Text"/>
    <w:basedOn w:val="1"/>
    <w:link w:val="17"/>
    <w:semiHidden/>
    <w:unhideWhenUsed/>
    <w:uiPriority w:val="99"/>
    <w:rPr>
      <w:sz w:val="18"/>
      <w:szCs w:val="18"/>
    </w:rPr>
  </w:style>
  <w:style w:type="paragraph" w:styleId="5">
    <w:name w:val="footer"/>
    <w:basedOn w:val="1"/>
    <w:link w:val="11"/>
    <w:semiHidden/>
    <w:qFormat/>
    <w:uiPriority w:val="0"/>
    <w:pPr>
      <w:tabs>
        <w:tab w:val="center" w:pos="4153"/>
        <w:tab w:val="right" w:pos="8306"/>
      </w:tabs>
      <w:snapToGrid w:val="0"/>
      <w:spacing w:before="120" w:after="120" w:line="240" w:lineRule="atLeast"/>
      <w:ind w:firstLine="567"/>
      <w:jc w:val="left"/>
    </w:pPr>
    <w:rPr>
      <w:rFonts w:ascii="Times New Roman" w:hAnsi="Times New Roman" w:eastAsia="仿宋_GB2312" w:cs="Times New Roman"/>
      <w:sz w:val="18"/>
      <w:szCs w:val="20"/>
    </w:rPr>
  </w:style>
  <w:style w:type="paragraph" w:styleId="6">
    <w:name w:val="header"/>
    <w:basedOn w:val="1"/>
    <w:link w:val="12"/>
    <w:semiHidden/>
    <w:qFormat/>
    <w:uiPriority w:val="0"/>
    <w:pPr>
      <w:pBdr>
        <w:bottom w:val="single" w:color="auto" w:sz="6" w:space="1"/>
      </w:pBdr>
      <w:tabs>
        <w:tab w:val="center" w:pos="4153"/>
        <w:tab w:val="right" w:pos="8306"/>
      </w:tabs>
      <w:snapToGrid w:val="0"/>
      <w:spacing w:before="120" w:after="120" w:line="240" w:lineRule="atLeast"/>
      <w:ind w:firstLine="567"/>
      <w:jc w:val="center"/>
    </w:pPr>
    <w:rPr>
      <w:rFonts w:ascii="Times New Roman" w:hAnsi="Times New Roman" w:eastAsia="仿宋_GB2312" w:cs="Times New Roman"/>
      <w:sz w:val="18"/>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semiHidden/>
    <w:qFormat/>
    <w:uiPriority w:val="0"/>
  </w:style>
  <w:style w:type="character" w:customStyle="1" w:styleId="11">
    <w:name w:val="页脚 Char"/>
    <w:basedOn w:val="9"/>
    <w:link w:val="5"/>
    <w:semiHidden/>
    <w:qFormat/>
    <w:uiPriority w:val="0"/>
    <w:rPr>
      <w:rFonts w:ascii="Times New Roman" w:hAnsi="Times New Roman" w:eastAsia="仿宋_GB2312" w:cs="Times New Roman"/>
      <w:sz w:val="18"/>
      <w:szCs w:val="20"/>
    </w:rPr>
  </w:style>
  <w:style w:type="character" w:customStyle="1" w:styleId="12">
    <w:name w:val="页眉 Char"/>
    <w:basedOn w:val="9"/>
    <w:link w:val="6"/>
    <w:semiHidden/>
    <w:qFormat/>
    <w:uiPriority w:val="0"/>
    <w:rPr>
      <w:rFonts w:ascii="Times New Roman" w:hAnsi="Times New Roman" w:eastAsia="仿宋_GB2312" w:cs="Times New Roman"/>
      <w:sz w:val="18"/>
      <w:szCs w:val="20"/>
    </w:rPr>
  </w:style>
  <w:style w:type="paragraph" w:customStyle="1" w:styleId="13">
    <w:name w:val="章"/>
    <w:basedOn w:val="1"/>
    <w:next w:val="3"/>
    <w:qFormat/>
    <w:uiPriority w:val="0"/>
    <w:pPr>
      <w:spacing w:before="240" w:after="480" w:line="360" w:lineRule="auto"/>
      <w:ind w:firstLine="200" w:firstLineChars="200"/>
      <w:jc w:val="center"/>
      <w:outlineLvl w:val="0"/>
    </w:pPr>
    <w:rPr>
      <w:rFonts w:ascii="Times New Roman" w:hAnsi="Times New Roman" w:eastAsia="黑体" w:cs="Times New Roman"/>
      <w:b/>
      <w:sz w:val="32"/>
      <w:szCs w:val="20"/>
      <w:lang w:bidi="he-IL"/>
    </w:rPr>
  </w:style>
  <w:style w:type="paragraph" w:customStyle="1" w:styleId="14">
    <w:name w:val="统一正文"/>
    <w:basedOn w:val="1"/>
    <w:uiPriority w:val="0"/>
    <w:pPr>
      <w:autoSpaceDE w:val="0"/>
      <w:autoSpaceDN w:val="0"/>
      <w:spacing w:line="360" w:lineRule="auto"/>
      <w:ind w:firstLine="567" w:firstLineChars="200"/>
      <w:jc w:val="left"/>
      <w:textAlignment w:val="baseline"/>
    </w:pPr>
    <w:rPr>
      <w:rFonts w:ascii="Times New Roman" w:hAnsi="Times New Roman" w:eastAsia="仿宋_GB2312" w:cs="Times New Roman"/>
      <w:kern w:val="0"/>
      <w:sz w:val="28"/>
      <w:szCs w:val="20"/>
      <w:lang w:bidi="he-IL"/>
    </w:rPr>
  </w:style>
  <w:style w:type="paragraph" w:customStyle="1" w:styleId="15">
    <w:name w:val="ly标题1"/>
    <w:basedOn w:val="2"/>
    <w:uiPriority w:val="0"/>
    <w:pPr>
      <w:spacing w:beforeLines="50" w:afterLines="50" w:line="360" w:lineRule="auto"/>
      <w:jc w:val="center"/>
    </w:pPr>
    <w:rPr>
      <w:rFonts w:ascii="Times New Roman" w:hAnsi="Times New Roman" w:eastAsia="黑体" w:cs="Arial"/>
      <w:bCs w:val="0"/>
      <w:sz w:val="32"/>
      <w:szCs w:val="32"/>
    </w:rPr>
  </w:style>
  <w:style w:type="character" w:customStyle="1" w:styleId="16">
    <w:name w:val="标题 1 Char"/>
    <w:basedOn w:val="9"/>
    <w:link w:val="2"/>
    <w:uiPriority w:val="9"/>
    <w:rPr>
      <w:b/>
      <w:bCs/>
      <w:kern w:val="44"/>
      <w:sz w:val="44"/>
      <w:szCs w:val="44"/>
    </w:rPr>
  </w:style>
  <w:style w:type="character" w:customStyle="1" w:styleId="17">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Words>
  <Characters>2212</Characters>
  <Lines>18</Lines>
  <Paragraphs>5</Paragraphs>
  <TotalTime>3651</TotalTime>
  <ScaleCrop>false</ScaleCrop>
  <LinksUpToDate>false</LinksUpToDate>
  <CharactersWithSpaces>2595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2018-09-18T11:59:00Z</dcterms:created>
  <dc:creator>Lee</dc:creator>
  <cp:lastModifiedBy>plumage.</cp:lastModifiedBy>
  <cp:lastPrinted>2018-12-28T03:18:00Z</cp:lastPrinted>
  <dcterms:modified xsi:type="dcterms:W3CDTF">2021-07-20T06:28:01Z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A42B8471BDB04608B8891A99B2E0DA26</vt:lpwstr>
  </property>
</Properties>
</file>