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方正小标宋简体" w:cs="Times New Roman"/>
          <w:color w:val="auto"/>
          <w:kern w:val="0"/>
          <w:sz w:val="44"/>
          <w:szCs w:val="44"/>
        </w:rPr>
      </w:pPr>
      <w:r>
        <w:rPr>
          <w:rFonts w:hint="eastAsia" w:ascii="仿宋" w:hAnsi="仿宋" w:eastAsia="方正小标宋简体" w:cs="Times New Roman"/>
          <w:color w:val="auto"/>
          <w:kern w:val="0"/>
          <w:sz w:val="44"/>
          <w:szCs w:val="44"/>
          <w:lang w:val="en-US" w:eastAsia="zh-CN"/>
        </w:rPr>
        <w:t>工贸企业重大事故隐患判定标准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楷体_GB2312" w:hAnsi="楷体_GB2312" w:eastAsia="楷体_GB2312" w:cs="楷体_GB2312"/>
          <w:snapToGrid/>
          <w:spacing w:val="0"/>
          <w:kern w:val="0"/>
          <w:sz w:val="32"/>
          <w:szCs w:val="20"/>
          <w:lang w:val="en-US" w:eastAsia="zh-CN"/>
        </w:rPr>
      </w:pPr>
      <w:r>
        <w:rPr>
          <w:rFonts w:hint="eastAsia" w:ascii="楷体_GB2312" w:hAnsi="楷体_GB2312" w:eastAsia="楷体_GB2312" w:cs="楷体_GB2312"/>
          <w:snapToGrid/>
          <w:spacing w:val="0"/>
          <w:kern w:val="0"/>
          <w:sz w:val="32"/>
          <w:szCs w:val="20"/>
          <w:lang w:val="en-US" w:eastAsia="zh-CN"/>
        </w:rPr>
        <w:t>中华人民共和国应急管理部令第10号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804"/>
        <w:jc w:val="both"/>
        <w:textAlignment w:val="auto"/>
        <w:rPr>
          <w:rFonts w:hint="eastAsia" w:ascii="仿宋_GB2312" w:hAnsi="仿宋_GB2312" w:eastAsia="仿宋_GB2312" w:cs="仿宋_GB2312"/>
          <w:i w:val="0"/>
          <w:iCs w:val="0"/>
          <w:caps w:val="0"/>
          <w:color w:val="auto"/>
          <w:spacing w:val="0"/>
          <w:kern w:val="0"/>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第一条  为了准确判定、及时消除工贸企业重大事故隐患（以下简称重大事故隐患），根据《中华人民共和国安全生产法》等法律、行政法规，制定本标准。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第二条  本标准适用于判定冶金、有色、建材、机械、轻工、纺织、烟草、商贸等工贸企业重大事故隐患。工贸企业内涉及危险化学品、消防（火灾）、燃气、特种设备等方面的重大事故隐患判定另有规定的，适用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第三条  工贸企业有下列情形之一的，应当判定为重大事故隐患：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（一）未对承包单位、承租单位的安全生产工作统一协调、管理，或者未定期进行安全检查的；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（二）特种作业人员未按照规定经专门的安全作业培训并取得相应资格，上岗作业的；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（三）金属冶炼企业主要负责人、安全生产管理人员未按照规定经考核合格的。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第四条  冶金企业有下列情形之一的，应当判定为重大事故隐患：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（一）会议室、活动室、休息室、操作室、交接班室、更衣室（含澡堂）等6类人员聚集场所,以及钢铁水罐冷（热）修工位设置在铁水、钢水、液渣吊运跨的地坪区域内的；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（二）生产期间冶炼、精炼和铸造生产区域的事故坑、炉下渣坑，以及熔融金属泄漏和喷溅影响范围内的炉前平台、炉基区域、厂房内吊运和地面运输通道等6类区域存在积水的；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（三）炼钢连铸流程未设置事故钢水罐、中间罐漏钢坑（槽）、中间罐溢流坑（槽）、漏钢回转溜槽，或者模铸流程未设置事故钢水罐（坑、槽）的；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（四）转炉、电弧炉、AOD炉、LF炉、RH炉、VOD炉等炼钢炉的水冷元件未设置出水温度、进出水流量差等监测报警装置，或者监测报警装置未与炉体倾动、氧（副）枪自动提升、电极自动断电和升起装置联锁的；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（五）高炉生产期间炉顶工作压力设定值超过设计文件规定的最高工作压力，或者炉顶工作压力监测装置未与炉顶放散阀联锁，或者炉顶放散阀的联锁放散压力设定值超过设备设计压力值的；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（七）加热炉、煤气柜、除尘器、加压机、烘烤器等设施，以及进入车间前的煤气管道未安装隔断装置的；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八）正压煤气输配管线水封式排水器的最高封堵煤气压力小于30kPa，或者同一煤气管道隔断装置的两侧共用一个排水器，或者不同煤气管道排水器上部的排水管连通，或者不同介质的煤气管道共用一个排水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第五条  有色企业有下列情形之一的，应当判定为重大事故隐患：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（一）会议室、活动室、休息室、操作室、交接班室、更衣室（含澡堂）等6类人员聚集场所设置在熔融金属吊运跨的地坪区域内的；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（二）生产期间冶炼、精炼、铸造生产区域的事故坑、炉下渣坑，以及熔融金属泄漏、喷溅影响范围内的炉前平台、炉基区域、厂房内吊运和地面运输通道等6类区域存在非生产性积水的；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（三）熔融金属铸造环节未设置紧急排放和应急储存设施的（倾动式熔炼炉、倾动式保温炉、倾动式熔保一体炉、带保温炉的固定式熔炼炉除外）；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（四）采用水冷冷却的冶炼炉窑、铸造机（铝加工深井铸造工艺的结晶器除外）、加热炉未设置应急水源的；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（五）熔融金属冶炼炉窑的闭路循环水冷元件未设置出水温度、进出水流量差监测报警装置，或者开路水冷元件未设置进水流量、压力监测报警装置，或者未监测开路水冷元件出水温度的；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六）铝加工深井铸造工艺的结晶器冷却水系统未设置进水压力、进水流量监测报警装置，或者监测报警装置未与快速切断阀、紧急排放阀、流槽断开装置联锁，或者监测报警装置未与倾动式浇铸炉控制系统联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（七）铝加工深井铸造工艺的浇铸炉铝液出口流槽、流槽与模盘（分配流槽）入口连接处未设置液位监测报警装置，或者固定式浇铸炉的铝液出口未设置机械锁紧装置的；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八）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九）铝加工深井铸造工艺的倾动式浇铸炉流槽与模盘（分配流槽）入口连接处未设置快速切断阀（断开装置），或者流槽与模盘（分配流槽）入口连接处的液位监测报警装置未与浇铸炉倾动控制系统、快速切断阀（断开装置）联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（十）铝加工深井铸造机钢丝卷扬系统选用非钢芯钢丝绳，或者未落实钢丝绳定期检查、更换制度的；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十一）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（十二）使用煤气（天然气）并强制送风的燃烧装置的燃气总管未设置压力监测报警装置，或者监测报警装置未与紧急自动切断装置联锁的；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十三）正压煤气输配管线水封式排水器的最高封堵煤气压力小于30kPa，或者同一煤气管道隔断装置的两侧共用一个排水器，或者不同煤气管道排水器上部的排水管连通，或者不同介质的煤气管道共用一个排水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第六条  建材企业有下列情形之一的，应当判定为重大事故隐患：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（一）煤磨袋式收尘器、煤粉仓未设置温度和固定式一氧化碳浓度监测报警装置，或者未设置气体灭火装置的；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（二）筒型储库人工清库作业未落实清库方案中防止高处坠落、坍塌等安全措施的；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（三）水泥企业电石渣原料筒型储库未设置固定式可燃气体浓度监测报警装置，或者监测报警装置未与事故通风装置联锁的；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四）进入筒型储库、焙烧窑、预热器旋风筒、分解炉、竖炉、篦冷机、磨机、破碎机前，未对可能意外启动的设备和涌入的物料、高温气体、有毒有害气体等采取隔离措施，或者未落实防止高处坠落、坍塌等安全措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（五）采用预混燃烧方式的燃气窑炉（热发生炉煤气窑炉除外）的燃气总管未设置管道压力监测报警装置，或者监测报警装置未与紧急自动切断装置联锁的；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（六）制氢站、氮氢保护气体配气间、燃气配气间等3类场所未设置固定式可燃气体浓度监测报警装置的；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（七）电熔制品电炉的水冷设备失效的；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（八）玻璃窑炉、玻璃锡槽等设备未设置水冷和风冷保护系统的监测报警装置的。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第七条  机械企业有下列情形之一的，应当判定为重大事故隐患：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（一）会议室、活动室、休息室、更衣室、交接班室等5类人员聚集场所设置在熔融金属吊运跨或者浇注跨的地坪区域内的；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（二）铸造用熔炼炉、精炼炉、保温炉未设置紧急排放和应急储存设施的；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（三）生产期间铸造用熔炼炉、精炼炉、保温炉的炉底、炉坑和事故坑，以及熔融金属泄漏、喷溅影响范围内的炉前平台、炉基区域、造型地坑、浇注作业坑和熔融金属转运通道等8类区域存在积水的；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（四）铸造用熔炼炉、精炼炉、压铸机、氧枪的冷却水系统未设置出水温度、进出水流量差监测报警装置，或者监测报警装置未与熔融金属加热、输送控制系统联锁的；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（五）使用煤气（天然气）的燃烧装置的燃气总管未设置管道压力监测报警装置，或者监测报警装置未与紧急自动切断装置联锁，或者燃烧装置未设置火焰监测和熄火保护系统的；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（六）使用可燃性有机溶剂清洗设备设施、工装器具、地面时，未采取防止可燃气体在周边密闭或者半密闭空间内积聚措施的；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（七）使用非水性漆的调漆间、喷漆室未设置固定式可燃气体浓度监测报警装置或者通风设施的。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第八条  轻工企业有下列情形之一的，应当判定为重大事故隐患：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（一）食品制造企业烘制、油炸设备未设置防过热自动切断装置的；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（二）白酒勾兑、灌装场所和酒库未设置固定式乙醇蒸气浓度监测报警装置，或者监测报警装置未与通风设施联锁的；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（三）纸浆制造、造纸企业使用蒸气、明火直接加热钢瓶汽化液氯的；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（四）日用玻璃、陶瓷制造企业采用预混燃烧方式的燃气窑炉（热发生炉煤气窑炉除外）的燃气总管未设置管道压力监测报警装置，或者监测报警装置未与紧急自动切断装置联锁的；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（五）日用玻璃制造企业玻璃窑炉的冷却保护系统未设置监测报警装置的；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（六）使用非水性漆的调漆间、喷漆室未设置固定式可燃气体浓度监测报警装置或者通风设施的；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（七）锂离子电池储存仓库未对故障电池采取有效物理隔离措施的。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第九条  纺织企业有下列情形之一的，应当判定为重大事故隐患：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（一）纱、线、织物加工的烧毛、开幅、烘干等热定型工艺的汽化室、燃气贮罐、储油罐、热媒炉，未与生产加工等人员聚集场所隔开或者单独设置的；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（二）保险粉、双氧水、次氯酸钠、亚氯酸钠、雕白粉（吊白块）与禁忌物料混合储存，或者保险粉储存场所未采取防水防潮措施的。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第十条  烟草企业有下列情形之一的，应当判定为重大事故隐患：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（一）熏蒸作业场所未配备磷化氢气体浓度监测报警仪器，或者未配备防毒面具，或者熏蒸杀虫作业前未确认无关人员全部撤离熏蒸作业场所的；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（二）使用液态二氧化碳制造膨胀烟丝的生产线和场所未设置固定式二氧化碳浓度监测报警装置，或者监测报警装置未与事故通风设施联锁的。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第十一条  存在粉尘爆炸危险的工贸企业有下列情形之一的，应当判定为重大事故隐患：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（一）粉尘爆炸危险场所设置在非框架结构的多层建(构)筑物内，或者粉尘爆炸危险场所内设有员工宿舍、会议室、办公室、休息室等人员聚集场所的；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（二）不同类别的可燃性粉尘、可燃性粉尘与可燃气体等易加剧爆炸危险的介质共用一套除尘系统，或者不同建（构）筑物、不同防火分区共用一套除尘系统、除尘系统互联互通的；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（三）干式除尘系统未采取泄爆、惰化、抑爆等任一种爆炸防控措施的；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（四）铝镁等金属粉尘除尘系统采用正压除尘方式，或者其他可燃性粉尘除尘系统采用正压吹送粉尘时，未采取火花探测消除等防范点燃源措施的；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（五）除尘系统采用重力沉降室除尘，或者采用干式巷道式构筑物作为除尘风道的；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（六）铝镁等金属粉尘、木质粉尘的干式除尘系统未设置锁气卸灰装置的；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（七）除尘器、收尘仓等划分为20区的粉尘爆炸危险场所电气设备不符合防爆要求的；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（八）粉碎、研磨、造粒等易产生机械点燃源的工艺设备前，未设置铁、石等杂物去除装置，或者木制品加工企业与砂光机连接的风管未设置火花探测消除装置的；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（九）遇湿自燃金属粉尘收集、堆放、储存场所未采取通风等防止氢气积聚措施，或者干式收集、堆放、储存场所未采取防水、防潮措施的；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（十）未落实粉尘清理制度，造成作业现场积尘严重的。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第十二条  使用液氨制冷的工贸企业有下列情形之一的，应当判定为重大事故隐患：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（一）包装、分割、产品整理场所的空调系统采用氨直接蒸发制冷的；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（二）快速冻结装置未设置在单独的作业间内，或者快速冻结装置作业间内作业人员数量超过9人的。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第十三条  存在硫化氢、一氧化碳等中毒风险的有限空间作业的工贸企业有下列情形之一的，应当判定为重大事故隐患：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（一）未对有限空间进行辨识、建立安全管理台账，并且未设置明显的安全警示标志的；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（二）未落实有限空间作业审批，或者未执行“先通风、再检测、后作业”要求，或者作业现场未设置监护人员的。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第十四条  本标准所列情形中直接关系生产安全的监控、报警、防护等设施、设备、装置，应当保证正常运行、使用，失效或者无效均判定为重大事故隐患。</w:t>
      </w:r>
    </w:p>
    <w:p>
      <w:pPr>
        <w:spacing w:line="600" w:lineRule="exact"/>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第十五条  本标准自2023年5月15日起施行。《工贸行业重大生产安全事故隐患判定标准（2017版）》（安监总管四〔2017〕129号）同时废止。</w:t>
      </w:r>
      <w:bookmarkStart w:id="0" w:name="_GoBack"/>
      <w:bookmarkEnd w:id="0"/>
    </w:p>
    <w:sectPr>
      <w:headerReference r:id="rId4" w:type="first"/>
      <w:footerReference r:id="rId6" w:type="first"/>
      <w:headerReference r:id="rId3" w:type="default"/>
      <w:footerReference r:id="rId5" w:type="default"/>
      <w:pgSz w:w="11906" w:h="16838"/>
      <w:pgMar w:top="2098" w:right="1474" w:bottom="1701"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0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anumMyeongjo">
    <w:altName w:val="Gungsuh"/>
    <w:panose1 w:val="02020603020001020101"/>
    <w:charset w:val="81"/>
    <w:family w:val="auto"/>
    <w:pitch w:val="default"/>
    <w:sig w:usb0="00000000" w:usb1="00000000" w:usb2="00000010" w:usb3="00000000" w:csb0="00080001" w:csb1="00000000"/>
  </w:font>
  <w:font w:name="微软雅黑">
    <w:panose1 w:val="020B0503020204020204"/>
    <w:charset w:val="86"/>
    <w:family w:val="auto"/>
    <w:pitch w:val="default"/>
    <w:sig w:usb0="80000287" w:usb1="280F3C52" w:usb2="00000016" w:usb3="00000000" w:csb0="0004001F" w:csb1="00000000"/>
  </w:font>
  <w:font w:name="Gungsuh">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488950" cy="325120"/>
              <wp:effectExtent l="0" t="0" r="0" b="0"/>
              <wp:wrapNone/>
              <wp:docPr id="4099" name="文本框 2"/>
              <wp:cNvGraphicFramePr/>
              <a:graphic xmlns:a="http://schemas.openxmlformats.org/drawingml/2006/main">
                <a:graphicData uri="http://schemas.microsoft.com/office/word/2010/wordprocessingShape">
                  <wps:wsp>
                    <wps:cNvSpPr/>
                    <wps:spPr>
                      <a:xfrm>
                        <a:off x="0" y="0"/>
                        <a:ext cx="488950" cy="325120"/>
                      </a:xfrm>
                      <a:prstGeom prst="rect">
                        <a:avLst/>
                      </a:prstGeom>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wps:txbx>
                    <wps:bodyPr vert="horz" wrap="square" lIns="0" tIns="0" rIns="0" bIns="0" anchor="t">
                      <a:noAutofit/>
                    </wps:bodyPr>
                  </wps:wsp>
                </a:graphicData>
              </a:graphic>
            </wp:anchor>
          </w:drawing>
        </mc:Choice>
        <mc:Fallback>
          <w:pict>
            <v:rect id="文本框 2" o:spid="_x0000_s1026" o:spt="1" style="position:absolute;left:0pt;margin-top:0pt;height:25.6pt;width:38.5pt;mso-position-horizontal:outside;mso-position-horizontal-relative:margin;z-index:251659264;mso-width-relative:page;mso-height-relative:page;" filled="f" stroked="f" coordsize="21600,21600" o:gfxdata="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S1RiNUAAAADAQAADwAAAAAAAAABACAAAAAiAAAA&#10;ZHJzL2Rvd25yZXYueG1sUEsBAhQAFAAAAAgAh07iQBEdiLXRAQAAkgMAAA4AAAAAAAAAAQAgAAAA&#10;JAEAAGRycy9lMm9Eb2MueG1sUEsFBgAAAAAGAAYAWQEAAGcFA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567055" cy="247650"/>
              <wp:effectExtent l="0" t="0" r="0" b="0"/>
              <wp:wrapNone/>
              <wp:docPr id="4100" name="文本框 7"/>
              <wp:cNvGraphicFramePr/>
              <a:graphic xmlns:a="http://schemas.openxmlformats.org/drawingml/2006/main">
                <a:graphicData uri="http://schemas.microsoft.com/office/word/2010/wordprocessingShape">
                  <wps:wsp>
                    <wps:cNvSpPr/>
                    <wps:spPr>
                      <a:xfrm>
                        <a:off x="0" y="0"/>
                        <a:ext cx="567055" cy="247650"/>
                      </a:xfrm>
                      <a:prstGeom prst="rect">
                        <a:avLst/>
                      </a:prstGeom>
                      <a:ln>
                        <a:noFill/>
                      </a:ln>
                    </wps:spPr>
                    <wps:txbx>
                      <w:txbxContent>
                        <w:p>
                          <w:pPr>
                            <w:widowControl w:val="0"/>
                            <w:snapToGrid w:val="0"/>
                            <w:jc w:val="center"/>
                            <w:rPr>
                              <w:rFonts w:hint="eastAsia" w:ascii="NanumMyeongjo" w:hAnsi="NanumMyeongjo" w:eastAsia="NanumMyeongjo" w:cs="NanumMyeongjo"/>
                              <w:kern w:val="2"/>
                              <w:sz w:val="28"/>
                              <w:szCs w:val="28"/>
                              <w:lang w:val="en-US" w:eastAsia="zh-CN" w:bidi="ar-SA"/>
                            </w:rPr>
                          </w:pPr>
                          <w:r>
                            <w:rPr>
                              <w:rFonts w:hint="eastAsia" w:ascii="NanumMyeongjo" w:hAnsi="NanumMyeongjo" w:eastAsia="NanumMyeongjo" w:cs="NanumMyeongjo"/>
                              <w:kern w:val="2"/>
                              <w:sz w:val="28"/>
                              <w:szCs w:val="28"/>
                              <w:lang w:val="en-US" w:eastAsia="zh-CN" w:bidi="ar-SA"/>
                            </w:rPr>
                            <w:fldChar w:fldCharType="begin"/>
                          </w:r>
                          <w:r>
                            <w:rPr>
                              <w:rFonts w:hint="eastAsia" w:ascii="NanumMyeongjo" w:hAnsi="NanumMyeongjo" w:eastAsia="NanumMyeongjo" w:cs="NanumMyeongjo"/>
                              <w:kern w:val="2"/>
                              <w:sz w:val="28"/>
                              <w:szCs w:val="28"/>
                              <w:lang w:val="en-US" w:eastAsia="zh-CN" w:bidi="ar-SA"/>
                            </w:rPr>
                            <w:instrText xml:space="preserve"> PAGE  \* MERGEFORMAT </w:instrText>
                          </w:r>
                          <w:r>
                            <w:rPr>
                              <w:rFonts w:hint="eastAsia" w:ascii="NanumMyeongjo" w:hAnsi="NanumMyeongjo" w:eastAsia="NanumMyeongjo" w:cs="NanumMyeongjo"/>
                              <w:kern w:val="2"/>
                              <w:sz w:val="28"/>
                              <w:szCs w:val="28"/>
                              <w:lang w:val="en-US" w:eastAsia="zh-CN" w:bidi="ar-SA"/>
                            </w:rPr>
                            <w:fldChar w:fldCharType="separate"/>
                          </w:r>
                          <w:r>
                            <w:rPr>
                              <w:rFonts w:hint="eastAsia" w:ascii="NanumMyeongjo" w:hAnsi="NanumMyeongjo" w:eastAsia="NanumMyeongjo" w:cs="NanumMyeongjo"/>
                              <w:kern w:val="2"/>
                              <w:sz w:val="28"/>
                              <w:szCs w:val="28"/>
                              <w:lang w:val="en-US" w:eastAsia="zh-CN" w:bidi="ar-SA"/>
                            </w:rPr>
                            <w:t>- 1 -</w:t>
                          </w:r>
                          <w:r>
                            <w:rPr>
                              <w:rFonts w:hint="eastAsia" w:ascii="NanumMyeongjo" w:hAnsi="NanumMyeongjo" w:eastAsia="NanumMyeongjo" w:cs="NanumMyeongjo"/>
                              <w:kern w:val="2"/>
                              <w:sz w:val="28"/>
                              <w:szCs w:val="28"/>
                              <w:lang w:val="en-US" w:eastAsia="zh-CN" w:bidi="ar-SA"/>
                            </w:rPr>
                            <w:fldChar w:fldCharType="end"/>
                          </w:r>
                        </w:p>
                      </w:txbxContent>
                    </wps:txbx>
                    <wps:bodyPr wrap="square" lIns="0" tIns="0" rIns="0" bIns="0" upright="0">
                      <a:noAutofit/>
                    </wps:bodyPr>
                  </wps:wsp>
                </a:graphicData>
              </a:graphic>
            </wp:anchor>
          </w:drawing>
        </mc:Choice>
        <mc:Fallback>
          <w:pict>
            <v:rect id="文本框 7" o:spid="_x0000_s1026" o:spt="1" style="position:absolute;left:0pt;margin-top:0pt;height:19.5pt;width:44.65pt;mso-position-horizontal:outside;mso-position-horizontal-relative:margin;z-index:251659264;mso-width-relative:page;mso-height-relative:page;" filled="f" stroked="f" coordsize="21600,21600" o:gfxdata="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v8+cNUAAAADAQAADwAAAAAAAAABACAAAAAiAAAAZHJzL2Rvd25y&#10;ZXYueG1sUEsBAhQAFAAAAAgAh07iQFQ4/UHIAQAAhwMAAA4AAAAAAAAAAQAgAAAAJAEAAGRycy9l&#10;Mm9Eb2MueG1sUEsFBgAAAAAGAAYAWQEAAF4FAAAAAA==&#10;">
              <v:fill on="f" focussize="0,0"/>
              <v:stroke on="f"/>
              <v:imagedata o:title=""/>
              <o:lock v:ext="edit" aspectratio="f"/>
              <v:textbox inset="0mm,0mm,0mm,0mm">
                <w:txbxContent>
                  <w:p>
                    <w:pPr>
                      <w:widowControl w:val="0"/>
                      <w:snapToGrid w:val="0"/>
                      <w:jc w:val="center"/>
                      <w:rPr>
                        <w:rFonts w:hint="eastAsia" w:ascii="NanumMyeongjo" w:hAnsi="NanumMyeongjo" w:eastAsia="NanumMyeongjo" w:cs="NanumMyeongjo"/>
                        <w:kern w:val="2"/>
                        <w:sz w:val="28"/>
                        <w:szCs w:val="28"/>
                        <w:lang w:val="en-US" w:eastAsia="zh-CN" w:bidi="ar-SA"/>
                      </w:rPr>
                    </w:pPr>
                    <w:r>
                      <w:rPr>
                        <w:rFonts w:hint="eastAsia" w:ascii="NanumMyeongjo" w:hAnsi="NanumMyeongjo" w:eastAsia="NanumMyeongjo" w:cs="NanumMyeongjo"/>
                        <w:kern w:val="2"/>
                        <w:sz w:val="28"/>
                        <w:szCs w:val="28"/>
                        <w:lang w:val="en-US" w:eastAsia="zh-CN" w:bidi="ar-SA"/>
                      </w:rPr>
                      <w:fldChar w:fldCharType="begin"/>
                    </w:r>
                    <w:r>
                      <w:rPr>
                        <w:rFonts w:hint="eastAsia" w:ascii="NanumMyeongjo" w:hAnsi="NanumMyeongjo" w:eastAsia="NanumMyeongjo" w:cs="NanumMyeongjo"/>
                        <w:kern w:val="2"/>
                        <w:sz w:val="28"/>
                        <w:szCs w:val="28"/>
                        <w:lang w:val="en-US" w:eastAsia="zh-CN" w:bidi="ar-SA"/>
                      </w:rPr>
                      <w:instrText xml:space="preserve"> PAGE  \* MERGEFORMAT </w:instrText>
                    </w:r>
                    <w:r>
                      <w:rPr>
                        <w:rFonts w:hint="eastAsia" w:ascii="NanumMyeongjo" w:hAnsi="NanumMyeongjo" w:eastAsia="NanumMyeongjo" w:cs="NanumMyeongjo"/>
                        <w:kern w:val="2"/>
                        <w:sz w:val="28"/>
                        <w:szCs w:val="28"/>
                        <w:lang w:val="en-US" w:eastAsia="zh-CN" w:bidi="ar-SA"/>
                      </w:rPr>
                      <w:fldChar w:fldCharType="separate"/>
                    </w:r>
                    <w:r>
                      <w:rPr>
                        <w:rFonts w:hint="eastAsia" w:ascii="NanumMyeongjo" w:hAnsi="NanumMyeongjo" w:eastAsia="NanumMyeongjo" w:cs="NanumMyeongjo"/>
                        <w:kern w:val="2"/>
                        <w:sz w:val="28"/>
                        <w:szCs w:val="28"/>
                        <w:lang w:val="en-US" w:eastAsia="zh-CN" w:bidi="ar-SA"/>
                      </w:rPr>
                      <w:t>- 1 -</w:t>
                    </w:r>
                    <w:r>
                      <w:rPr>
                        <w:rFonts w:hint="eastAsia" w:ascii="NanumMyeongjo" w:hAnsi="NanumMyeongjo" w:eastAsia="NanumMyeongjo" w:cs="NanumMyeongjo"/>
                        <w:kern w:val="2"/>
                        <w:sz w:val="28"/>
                        <w:szCs w:val="28"/>
                        <w:lang w:val="en-US" w:eastAsia="zh-CN" w:bidi="ar-S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宋体" w:cs="Times New Roman"/>
        <w:kern w:val="2"/>
        <w:sz w:val="18"/>
        <w:szCs w:val="3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ZTU4ZmIyNWIzZTdmOGVkN2QzOTBmMzAyYzQ3MjYifQ=="/>
  </w:docVars>
  <w:rsids>
    <w:rsidRoot w:val="00000000"/>
    <w:rsid w:val="07E34429"/>
    <w:rsid w:val="141A50EB"/>
    <w:rsid w:val="28DA14F4"/>
    <w:rsid w:val="396B7ED1"/>
    <w:rsid w:val="3DF24001"/>
    <w:rsid w:val="4BFB3BDE"/>
    <w:rsid w:val="55B80777"/>
    <w:rsid w:val="58345BEF"/>
    <w:rsid w:val="59ED7116"/>
    <w:rsid w:val="6F3F0A1A"/>
    <w:rsid w:val="7ECA2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简体" w:cs="方正仿宋简体"/>
      <w:kern w:val="2"/>
      <w:sz w:val="32"/>
      <w:szCs w:val="24"/>
      <w:lang w:val="en-US" w:eastAsia="zh-CN" w:bidi="ar-SA"/>
    </w:rPr>
  </w:style>
  <w:style w:type="paragraph" w:styleId="5">
    <w:name w:val="heading 1"/>
    <w:basedOn w:val="1"/>
    <w:next w:val="1"/>
    <w:link w:val="31"/>
    <w:qFormat/>
    <w:uiPriority w:val="9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6">
    <w:name w:val="heading 2"/>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1"/>
    </w:pPr>
    <w:rPr>
      <w:rFonts w:ascii="宋体" w:hAnsi="Times New Roman" w:eastAsia="宋体" w:cs="Times New Roman"/>
      <w:b/>
      <w:snapToGrid/>
      <w:color w:val="auto"/>
      <w:spacing w:val="0"/>
      <w:w w:val="100"/>
      <w:kern w:val="0"/>
      <w:position w:val="0"/>
      <w:sz w:val="36"/>
      <w:szCs w:val="21"/>
      <w:u w:val="none" w:color="auto"/>
      <w:vertAlign w:val="baseline"/>
      <w:lang w:val="en-US" w:eastAsia="zh-CN" w:bidi="ar-SA"/>
    </w:rPr>
  </w:style>
  <w:style w:type="character" w:default="1" w:styleId="20">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Calibri" w:hAnsi="Calibri" w:eastAsia="宋体" w:cs="Times New Roman"/>
      <w:szCs w:val="24"/>
    </w:rPr>
  </w:style>
  <w:style w:type="paragraph" w:styleId="3">
    <w:name w:val="Body Text Indent"/>
    <w:basedOn w:val="1"/>
    <w:next w:val="4"/>
    <w:qFormat/>
    <w:uiPriority w:val="0"/>
    <w:pPr>
      <w:spacing w:line="240" w:lineRule="atLeast"/>
      <w:ind w:firstLine="280" w:firstLineChars="100"/>
    </w:pPr>
    <w:rPr>
      <w:rFonts w:ascii="华文中宋" w:hAnsi="华文中宋" w:eastAsia="华文中宋"/>
      <w:sz w:val="28"/>
      <w:szCs w:val="24"/>
    </w:rPr>
  </w:style>
  <w:style w:type="paragraph" w:styleId="4">
    <w:name w:val="Normal Indent"/>
    <w:basedOn w:val="1"/>
    <w:next w:val="1"/>
    <w:qFormat/>
    <w:uiPriority w:val="0"/>
    <w:pPr>
      <w:ind w:firstLine="420" w:firstLineChars="200"/>
    </w:pPr>
    <w:rPr>
      <w:rFonts w:eastAsia="仿宋"/>
      <w:sz w:val="32"/>
    </w:rPr>
  </w:style>
  <w:style w:type="paragraph" w:styleId="7">
    <w:name w:val="table of authorities"/>
    <w:basedOn w:val="1"/>
    <w:next w:val="1"/>
    <w:qFormat/>
    <w:uiPriority w:val="99"/>
    <w:pPr>
      <w:ind w:left="200" w:leftChars="200"/>
    </w:pPr>
  </w:style>
  <w:style w:type="paragraph" w:styleId="8">
    <w:name w:val="annotation text"/>
    <w:basedOn w:val="1"/>
    <w:link w:val="27"/>
    <w:qFormat/>
    <w:uiPriority w:val="99"/>
    <w:pPr>
      <w:jc w:val="left"/>
    </w:pPr>
  </w:style>
  <w:style w:type="paragraph" w:styleId="9">
    <w:name w:val="index 6"/>
    <w:next w:val="1"/>
    <w:qFormat/>
    <w:uiPriority w:val="0"/>
    <w:pPr>
      <w:widowControl w:val="0"/>
      <w:ind w:left="2100"/>
      <w:jc w:val="both"/>
    </w:pPr>
    <w:rPr>
      <w:rFonts w:ascii="Calibri" w:hAnsi="Calibri" w:eastAsia="宋体" w:cs="Times New Roman"/>
      <w:kern w:val="2"/>
      <w:sz w:val="21"/>
      <w:lang w:val="en-US" w:eastAsia="zh-CN" w:bidi="ar-SA"/>
    </w:rPr>
  </w:style>
  <w:style w:type="paragraph" w:styleId="10">
    <w:name w:val="Date"/>
    <w:basedOn w:val="1"/>
    <w:next w:val="1"/>
    <w:link w:val="30"/>
    <w:qFormat/>
    <w:uiPriority w:val="99"/>
    <w:pPr>
      <w:ind w:left="100" w:leftChars="2500"/>
    </w:pPr>
  </w:style>
  <w:style w:type="paragraph" w:styleId="11">
    <w:name w:val="Balloon Text"/>
    <w:basedOn w:val="1"/>
    <w:next w:val="1"/>
    <w:link w:val="29"/>
    <w:qFormat/>
    <w:uiPriority w:val="99"/>
    <w:rPr>
      <w:sz w:val="18"/>
      <w:szCs w:val="18"/>
    </w:rPr>
  </w:style>
  <w:style w:type="paragraph" w:styleId="12">
    <w:name w:val="footer"/>
    <w:basedOn w:val="1"/>
    <w:link w:val="25"/>
    <w:qFormat/>
    <w:uiPriority w:val="0"/>
    <w:pPr>
      <w:tabs>
        <w:tab w:val="center" w:pos="4153"/>
        <w:tab w:val="right" w:pos="8306"/>
      </w:tabs>
      <w:snapToGrid w:val="0"/>
      <w:jc w:val="left"/>
    </w:pPr>
    <w:rPr>
      <w:rFonts w:ascii="等线" w:hAnsi="等线" w:eastAsia="等线" w:cs="宋体"/>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jc w:val="center"/>
    </w:pPr>
    <w:rPr>
      <w:rFonts w:ascii="等线" w:hAnsi="等线" w:eastAsia="等线" w:cs="宋体"/>
      <w:sz w:val="18"/>
      <w:szCs w:val="1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5">
    <w:name w:val="Normal (Web)"/>
    <w:basedOn w:val="1"/>
    <w:qFormat/>
    <w:uiPriority w:val="99"/>
    <w:pPr>
      <w:spacing w:before="0" w:beforeAutospacing="1" w:after="0" w:afterAutospacing="1"/>
      <w:ind w:left="0" w:right="0"/>
      <w:jc w:val="left"/>
    </w:pPr>
    <w:rPr>
      <w:kern w:val="0"/>
      <w:sz w:val="24"/>
      <w:lang w:val="en-US" w:eastAsia="zh-CN"/>
    </w:rPr>
  </w:style>
  <w:style w:type="paragraph" w:styleId="16">
    <w:name w:val="Title"/>
    <w:basedOn w:val="1"/>
    <w:next w:val="1"/>
    <w:link w:val="26"/>
    <w:qFormat/>
    <w:uiPriority w:val="0"/>
    <w:pPr>
      <w:spacing w:before="240" w:after="60"/>
      <w:jc w:val="center"/>
      <w:outlineLvl w:val="0"/>
    </w:pPr>
    <w:rPr>
      <w:rFonts w:ascii="Cambria" w:hAnsi="Cambria" w:eastAsia="等线"/>
      <w:b/>
      <w:bCs/>
      <w:szCs w:val="32"/>
    </w:rPr>
  </w:style>
  <w:style w:type="paragraph" w:styleId="17">
    <w:name w:val="annotation subject"/>
    <w:basedOn w:val="8"/>
    <w:next w:val="8"/>
    <w:link w:val="28"/>
    <w:qFormat/>
    <w:uiPriority w:val="99"/>
    <w:rPr>
      <w:b/>
      <w:bCs/>
    </w:rPr>
  </w:style>
  <w:style w:type="table" w:styleId="1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qFormat/>
    <w:uiPriority w:val="99"/>
    <w:rPr>
      <w:color w:val="0563C1"/>
      <w:u w:val="single"/>
    </w:rPr>
  </w:style>
  <w:style w:type="character" w:styleId="23">
    <w:name w:val="annotation reference"/>
    <w:basedOn w:val="20"/>
    <w:qFormat/>
    <w:uiPriority w:val="99"/>
    <w:rPr>
      <w:sz w:val="21"/>
      <w:szCs w:val="21"/>
    </w:rPr>
  </w:style>
  <w:style w:type="character" w:customStyle="1" w:styleId="24">
    <w:name w:val="页眉 字符"/>
    <w:basedOn w:val="20"/>
    <w:link w:val="13"/>
    <w:qFormat/>
    <w:uiPriority w:val="99"/>
    <w:rPr>
      <w:sz w:val="18"/>
      <w:szCs w:val="18"/>
    </w:rPr>
  </w:style>
  <w:style w:type="character" w:customStyle="1" w:styleId="25">
    <w:name w:val="页脚 字符"/>
    <w:basedOn w:val="20"/>
    <w:link w:val="12"/>
    <w:qFormat/>
    <w:uiPriority w:val="99"/>
    <w:rPr>
      <w:sz w:val="18"/>
      <w:szCs w:val="18"/>
    </w:rPr>
  </w:style>
  <w:style w:type="character" w:customStyle="1" w:styleId="26">
    <w:name w:val="标题 字符"/>
    <w:basedOn w:val="20"/>
    <w:link w:val="16"/>
    <w:qFormat/>
    <w:uiPriority w:val="0"/>
    <w:rPr>
      <w:rFonts w:ascii="Cambria" w:hAnsi="Cambria" w:eastAsia="等线" w:cs="方正仿宋简体"/>
      <w:b/>
      <w:bCs/>
      <w:sz w:val="32"/>
      <w:szCs w:val="32"/>
    </w:rPr>
  </w:style>
  <w:style w:type="character" w:customStyle="1" w:styleId="27">
    <w:name w:val="批注文字 字符"/>
    <w:basedOn w:val="20"/>
    <w:link w:val="8"/>
    <w:qFormat/>
    <w:uiPriority w:val="99"/>
    <w:rPr>
      <w:rFonts w:ascii="Calibri" w:hAnsi="Calibri" w:eastAsia="方正仿宋简体" w:cs="方正仿宋简体"/>
      <w:sz w:val="32"/>
      <w:szCs w:val="24"/>
    </w:rPr>
  </w:style>
  <w:style w:type="character" w:customStyle="1" w:styleId="28">
    <w:name w:val="批注主题 字符"/>
    <w:basedOn w:val="27"/>
    <w:link w:val="17"/>
    <w:qFormat/>
    <w:uiPriority w:val="99"/>
    <w:rPr>
      <w:rFonts w:ascii="Calibri" w:hAnsi="Calibri" w:eastAsia="方正仿宋简体" w:cs="方正仿宋简体"/>
      <w:b/>
      <w:bCs/>
      <w:sz w:val="32"/>
      <w:szCs w:val="24"/>
    </w:rPr>
  </w:style>
  <w:style w:type="character" w:customStyle="1" w:styleId="29">
    <w:name w:val="批注框文本 字符"/>
    <w:basedOn w:val="20"/>
    <w:link w:val="11"/>
    <w:qFormat/>
    <w:uiPriority w:val="99"/>
    <w:rPr>
      <w:rFonts w:ascii="Calibri" w:hAnsi="Calibri" w:eastAsia="方正仿宋简体" w:cs="方正仿宋简体"/>
      <w:sz w:val="18"/>
      <w:szCs w:val="18"/>
    </w:rPr>
  </w:style>
  <w:style w:type="character" w:customStyle="1" w:styleId="30">
    <w:name w:val="日期 字符"/>
    <w:basedOn w:val="20"/>
    <w:link w:val="10"/>
    <w:qFormat/>
    <w:uiPriority w:val="99"/>
    <w:rPr>
      <w:rFonts w:ascii="Calibri" w:hAnsi="Calibri" w:eastAsia="方正仿宋简体" w:cs="方正仿宋简体"/>
      <w:sz w:val="32"/>
      <w:szCs w:val="24"/>
    </w:rPr>
  </w:style>
  <w:style w:type="character" w:customStyle="1" w:styleId="31">
    <w:name w:val="标题 1 字符"/>
    <w:basedOn w:val="20"/>
    <w:link w:val="5"/>
    <w:qFormat/>
    <w:uiPriority w:val="99"/>
    <w:rPr>
      <w:rFonts w:ascii="Times New Roman" w:hAnsi="Times New Roman" w:eastAsia="宋体" w:cs="Times New Roman"/>
      <w:b/>
      <w:bCs/>
      <w:kern w:val="44"/>
      <w:sz w:val="44"/>
      <w:szCs w:val="44"/>
    </w:rPr>
  </w:style>
  <w:style w:type="paragraph" w:styleId="32">
    <w:name w:val="List Paragraph"/>
    <w:basedOn w:val="1"/>
    <w:qFormat/>
    <w:uiPriority w:val="34"/>
    <w:pPr>
      <w:ind w:firstLine="420" w:firstLineChars="200"/>
    </w:pPr>
  </w:style>
  <w:style w:type="paragraph" w:customStyle="1" w:styleId="3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列表段落1"/>
    <w:qFormat/>
    <w:uiPriority w:val="99"/>
    <w:pPr>
      <w:widowControl w:val="0"/>
      <w:ind w:firstLine="420" w:firstLineChars="200"/>
      <w:jc w:val="both"/>
    </w:pPr>
    <w:rPr>
      <w:rFonts w:ascii="Calibri" w:hAnsi="Calibri" w:eastAsia="仿宋_GB2312" w:cs="Times New Roman"/>
      <w:kern w:val="2"/>
      <w:sz w:val="36"/>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25514</Words>
  <Characters>25826</Characters>
  <Paragraphs>733</Paragraphs>
  <TotalTime>10</TotalTime>
  <ScaleCrop>false</ScaleCrop>
  <LinksUpToDate>false</LinksUpToDate>
  <CharactersWithSpaces>25898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2022-05-01T01:21:00Z</dcterms:created>
  <dc:creator>潘勤</dc:creator>
  <cp:lastModifiedBy>winifredH</cp:lastModifiedBy>
  <cp:lastPrinted>2023-06-01T00:28:00Z</cp:lastPrinted>
  <dcterms:modified xsi:type="dcterms:W3CDTF">2023-06-02T02:01:14Z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BC6FBB2531FC4A6DA7C842B703377872_13</vt:lpwstr>
  </property>
</Properties>
</file>