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2" w:line="224" w:lineRule="auto"/>
        <w:rPr>
          <w:rFonts w:hint="eastAsia" w:ascii="黑体" w:hAnsi="黑体" w:eastAsia="黑体" w:cs="黑体"/>
          <w:b w:val="0"/>
          <w:bCs w:val="0"/>
          <w:spacing w:val="-13"/>
          <w:sz w:val="32"/>
          <w:szCs w:val="32"/>
          <w:lang w:eastAsia="zh-CN"/>
        </w:rPr>
      </w:pPr>
      <w:r>
        <w:rPr>
          <w:rFonts w:hint="eastAsia" w:ascii="黑体" w:hAnsi="黑体" w:eastAsia="黑体" w:cs="黑体"/>
          <w:b w:val="0"/>
          <w:bCs w:val="0"/>
          <w:spacing w:val="-13"/>
          <w:sz w:val="32"/>
          <w:szCs w:val="32"/>
        </w:rPr>
        <w:t>附件</w:t>
      </w:r>
      <w:r>
        <w:rPr>
          <w:rFonts w:hint="eastAsia" w:ascii="黑体" w:hAnsi="黑体" w:eastAsia="黑体" w:cs="黑体"/>
          <w:b w:val="0"/>
          <w:bCs w:val="0"/>
          <w:spacing w:val="-13"/>
          <w:sz w:val="32"/>
          <w:szCs w:val="32"/>
          <w:lang w:val="en-US" w:eastAsia="zh-CN"/>
        </w:rPr>
        <w:t>6</w:t>
      </w:r>
    </w:p>
    <w:p>
      <w:pPr>
        <w:spacing w:before="30" w:line="219" w:lineRule="auto"/>
        <w:ind w:left="2479"/>
        <w:rPr>
          <w:rFonts w:hint="eastAsia" w:ascii="宋体" w:hAnsi="宋体" w:eastAsia="宋体" w:cs="仿宋_GB2312"/>
          <w:b/>
          <w:snapToGrid/>
          <w:color w:val="000000"/>
          <w:kern w:val="0"/>
          <w:sz w:val="36"/>
          <w:szCs w:val="36"/>
          <w:lang w:val="en-US" w:eastAsia="zh-CN" w:bidi="ar-SA"/>
        </w:rPr>
      </w:pPr>
      <w:r>
        <w:rPr>
          <w:rFonts w:hint="eastAsia" w:ascii="宋体" w:hAnsi="宋体" w:eastAsia="宋体" w:cs="仿宋_GB2312"/>
          <w:b/>
          <w:snapToGrid/>
          <w:color w:val="000000"/>
          <w:kern w:val="0"/>
          <w:sz w:val="36"/>
          <w:szCs w:val="36"/>
          <w:lang w:val="en-US" w:eastAsia="zh-CN" w:bidi="ar-SA"/>
        </w:rPr>
        <w:t>南安市安全生产标准化提升专项行动巩固提高进展情况月报表（二）</w:t>
      </w:r>
    </w:p>
    <w:p>
      <w:pPr>
        <w:sectPr>
          <w:footerReference r:id="rId5" w:type="default"/>
          <w:pgSz w:w="16830" w:h="11900"/>
          <w:pgMar w:top="1011" w:right="597" w:bottom="804" w:left="520" w:header="0" w:footer="515" w:gutter="0"/>
          <w:pgNumType w:fmt="numberInDash"/>
          <w:cols w:equalWidth="0" w:num="1">
            <w:col w:w="15713"/>
          </w:cols>
        </w:sectPr>
      </w:pPr>
    </w:p>
    <w:tbl>
      <w:tblPr>
        <w:tblStyle w:val="12"/>
        <w:tblpPr w:leftFromText="180" w:rightFromText="180" w:vertAnchor="page" w:horzAnchor="page" w:tblpX="574" w:tblpY="2637"/>
        <w:tblOverlap w:val="never"/>
        <w:tblW w:w="152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380"/>
        <w:gridCol w:w="390"/>
        <w:gridCol w:w="390"/>
        <w:gridCol w:w="380"/>
        <w:gridCol w:w="380"/>
        <w:gridCol w:w="389"/>
        <w:gridCol w:w="380"/>
        <w:gridCol w:w="389"/>
        <w:gridCol w:w="380"/>
        <w:gridCol w:w="389"/>
        <w:gridCol w:w="370"/>
        <w:gridCol w:w="389"/>
        <w:gridCol w:w="380"/>
        <w:gridCol w:w="380"/>
        <w:gridCol w:w="389"/>
        <w:gridCol w:w="380"/>
        <w:gridCol w:w="390"/>
        <w:gridCol w:w="380"/>
        <w:gridCol w:w="389"/>
        <w:gridCol w:w="380"/>
        <w:gridCol w:w="380"/>
        <w:gridCol w:w="380"/>
        <w:gridCol w:w="390"/>
        <w:gridCol w:w="390"/>
        <w:gridCol w:w="379"/>
        <w:gridCol w:w="380"/>
        <w:gridCol w:w="390"/>
        <w:gridCol w:w="379"/>
        <w:gridCol w:w="390"/>
        <w:gridCol w:w="380"/>
        <w:gridCol w:w="390"/>
        <w:gridCol w:w="380"/>
        <w:gridCol w:w="390"/>
        <w:gridCol w:w="389"/>
        <w:gridCol w:w="380"/>
        <w:gridCol w:w="390"/>
        <w:gridCol w:w="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04" w:type="dxa"/>
            <w:vMerge w:val="restart"/>
            <w:tcBorders>
              <w:bottom w:val="nil"/>
            </w:tcBorders>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填报</w:t>
            </w: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单位</w:t>
            </w: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类型</w:t>
            </w:r>
          </w:p>
        </w:tc>
        <w:tc>
          <w:tcPr>
            <w:tcW w:w="1920" w:type="dxa"/>
            <w:gridSpan w:val="5"/>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优化标准规范</w:t>
            </w:r>
          </w:p>
        </w:tc>
        <w:tc>
          <w:tcPr>
            <w:tcW w:w="6514" w:type="dxa"/>
            <w:gridSpan w:val="17"/>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四色安全风险分级动态监管</w:t>
            </w:r>
          </w:p>
        </w:tc>
        <w:tc>
          <w:tcPr>
            <w:tcW w:w="5799" w:type="dxa"/>
            <w:gridSpan w:val="15"/>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执法激励约束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 w:hRule="atLeast"/>
        </w:trPr>
        <w:tc>
          <w:tcPr>
            <w:tcW w:w="1004" w:type="dxa"/>
            <w:vMerge w:val="continue"/>
            <w:tcBorders>
              <w:top w:val="nil"/>
              <w:bottom w:val="nil"/>
            </w:tcBorders>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p>
        </w:tc>
        <w:tc>
          <w:tcPr>
            <w:tcW w:w="380"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安全生产检查清单（份）</w:t>
            </w:r>
          </w:p>
        </w:tc>
        <w:tc>
          <w:tcPr>
            <w:tcW w:w="390"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标准化运行提升指南（份）</w:t>
            </w:r>
          </w:p>
        </w:tc>
        <w:tc>
          <w:tcPr>
            <w:tcW w:w="390"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中等 企业达标细则（份）</w:t>
            </w:r>
          </w:p>
        </w:tc>
        <w:tc>
          <w:tcPr>
            <w:tcW w:w="380"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小微企业达标细则（份）</w:t>
            </w:r>
          </w:p>
        </w:tc>
        <w:tc>
          <w:tcPr>
            <w:tcW w:w="380"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网格员安全生产检查导则（份）</w:t>
            </w:r>
          </w:p>
        </w:tc>
        <w:tc>
          <w:tcPr>
            <w:tcW w:w="389"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企业总数（家）</w:t>
            </w:r>
          </w:p>
        </w:tc>
        <w:tc>
          <w:tcPr>
            <w:tcW w:w="1538" w:type="dxa"/>
            <w:gridSpan w:val="4"/>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红色风险企业（家）</w:t>
            </w:r>
          </w:p>
        </w:tc>
        <w:tc>
          <w:tcPr>
            <w:tcW w:w="1519" w:type="dxa"/>
            <w:gridSpan w:val="4"/>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橙色风险企业（家）</w:t>
            </w:r>
          </w:p>
        </w:tc>
        <w:tc>
          <w:tcPr>
            <w:tcW w:w="1539" w:type="dxa"/>
            <w:gridSpan w:val="4"/>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黄色风险企业（家）</w:t>
            </w:r>
          </w:p>
        </w:tc>
        <w:tc>
          <w:tcPr>
            <w:tcW w:w="1529" w:type="dxa"/>
            <w:gridSpan w:val="4"/>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蓝色风险企业（家）</w:t>
            </w:r>
          </w:p>
        </w:tc>
        <w:tc>
          <w:tcPr>
            <w:tcW w:w="390"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检查企业（家次）</w:t>
            </w:r>
          </w:p>
        </w:tc>
        <w:tc>
          <w:tcPr>
            <w:tcW w:w="390"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发现隐患（条）</w:t>
            </w:r>
          </w:p>
        </w:tc>
        <w:tc>
          <w:tcPr>
            <w:tcW w:w="379"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督促整改隐患（条）</w:t>
            </w:r>
          </w:p>
        </w:tc>
        <w:tc>
          <w:tcPr>
            <w:tcW w:w="770" w:type="dxa"/>
            <w:gridSpan w:val="2"/>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重大隐患挂牌 督办</w:t>
            </w:r>
          </w:p>
        </w:tc>
        <w:tc>
          <w:tcPr>
            <w:tcW w:w="769" w:type="dxa"/>
            <w:gridSpan w:val="2"/>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p>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罚款</w:t>
            </w:r>
          </w:p>
        </w:tc>
        <w:tc>
          <w:tcPr>
            <w:tcW w:w="380"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责令停产停业整顿（家次）</w:t>
            </w:r>
          </w:p>
        </w:tc>
        <w:tc>
          <w:tcPr>
            <w:tcW w:w="390"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暂扣或吊销证照企业（家次）</w:t>
            </w:r>
          </w:p>
        </w:tc>
        <w:tc>
          <w:tcPr>
            <w:tcW w:w="380"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取缔关闭企业（家次）</w:t>
            </w:r>
          </w:p>
        </w:tc>
        <w:tc>
          <w:tcPr>
            <w:tcW w:w="390"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移送司法机关（人次）</w:t>
            </w:r>
          </w:p>
        </w:tc>
        <w:tc>
          <w:tcPr>
            <w:tcW w:w="389"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曝光典型案例企业（家次）</w:t>
            </w:r>
          </w:p>
        </w:tc>
        <w:tc>
          <w:tcPr>
            <w:tcW w:w="380"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约谈警示企业（家次）</w:t>
            </w:r>
          </w:p>
        </w:tc>
        <w:tc>
          <w:tcPr>
            <w:tcW w:w="390"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激励单位（家次）</w:t>
            </w:r>
          </w:p>
        </w:tc>
        <w:tc>
          <w:tcPr>
            <w:tcW w:w="402" w:type="dxa"/>
            <w:vMerge w:val="restart"/>
            <w:tcBorders>
              <w:bottom w:val="nil"/>
            </w:tcBorders>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约束单位（家次）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6" w:hRule="atLeast"/>
        </w:trPr>
        <w:tc>
          <w:tcPr>
            <w:tcW w:w="1004" w:type="dxa"/>
            <w:vMerge w:val="continue"/>
            <w:tcBorders>
              <w:top w:val="nil"/>
            </w:tcBorders>
            <w:vAlign w:val="top"/>
          </w:tcPr>
          <w:p>
            <w:pPr>
              <w:rPr>
                <w:rFonts w:ascii="Arial"/>
                <w:sz w:val="21"/>
              </w:rPr>
            </w:pPr>
          </w:p>
        </w:tc>
        <w:tc>
          <w:tcPr>
            <w:tcW w:w="380" w:type="dxa"/>
            <w:vMerge w:val="continue"/>
            <w:tcBorders>
              <w:top w:val="nil"/>
            </w:tcBorders>
            <w:textDirection w:val="tbRlV"/>
            <w:vAlign w:val="top"/>
          </w:tcPr>
          <w:p>
            <w:pPr>
              <w:rPr>
                <w:rFonts w:ascii="Arial"/>
                <w:sz w:val="21"/>
              </w:rPr>
            </w:pPr>
          </w:p>
        </w:tc>
        <w:tc>
          <w:tcPr>
            <w:tcW w:w="390" w:type="dxa"/>
            <w:vMerge w:val="continue"/>
            <w:tcBorders>
              <w:top w:val="nil"/>
            </w:tcBorders>
            <w:textDirection w:val="tbRlV"/>
            <w:vAlign w:val="top"/>
          </w:tcPr>
          <w:p>
            <w:pPr>
              <w:rPr>
                <w:rFonts w:ascii="Arial"/>
                <w:sz w:val="21"/>
              </w:rPr>
            </w:pPr>
          </w:p>
        </w:tc>
        <w:tc>
          <w:tcPr>
            <w:tcW w:w="390" w:type="dxa"/>
            <w:vMerge w:val="continue"/>
            <w:tcBorders>
              <w:top w:val="nil"/>
            </w:tcBorders>
            <w:textDirection w:val="tbRlV"/>
            <w:vAlign w:val="top"/>
          </w:tcPr>
          <w:p>
            <w:pPr>
              <w:rPr>
                <w:rFonts w:ascii="Arial"/>
                <w:sz w:val="21"/>
              </w:rPr>
            </w:pPr>
          </w:p>
        </w:tc>
        <w:tc>
          <w:tcPr>
            <w:tcW w:w="380" w:type="dxa"/>
            <w:vMerge w:val="continue"/>
            <w:tcBorders>
              <w:top w:val="nil"/>
            </w:tcBorders>
            <w:textDirection w:val="tbRlV"/>
            <w:vAlign w:val="top"/>
          </w:tcPr>
          <w:p>
            <w:pPr>
              <w:rPr>
                <w:rFonts w:ascii="Arial"/>
                <w:sz w:val="21"/>
              </w:rPr>
            </w:pPr>
          </w:p>
        </w:tc>
        <w:tc>
          <w:tcPr>
            <w:tcW w:w="380" w:type="dxa"/>
            <w:vMerge w:val="continue"/>
            <w:tcBorders>
              <w:top w:val="nil"/>
            </w:tcBorders>
            <w:textDirection w:val="tbRlV"/>
            <w:vAlign w:val="top"/>
          </w:tcPr>
          <w:p>
            <w:pPr>
              <w:rPr>
                <w:rFonts w:ascii="Arial"/>
                <w:sz w:val="21"/>
              </w:rPr>
            </w:pPr>
          </w:p>
        </w:tc>
        <w:tc>
          <w:tcPr>
            <w:tcW w:w="389" w:type="dxa"/>
            <w:vMerge w:val="continue"/>
            <w:tcBorders>
              <w:top w:val="nil"/>
            </w:tcBorders>
            <w:textDirection w:val="tbRlV"/>
            <w:vAlign w:val="top"/>
          </w:tcPr>
          <w:p>
            <w:pPr>
              <w:rPr>
                <w:rFonts w:ascii="Arial"/>
                <w:sz w:val="21"/>
              </w:rPr>
            </w:pPr>
          </w:p>
        </w:tc>
        <w:tc>
          <w:tcPr>
            <w:tcW w:w="38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总数</w:t>
            </w:r>
          </w:p>
        </w:tc>
        <w:tc>
          <w:tcPr>
            <w:tcW w:w="389"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规上企业</w:t>
            </w:r>
          </w:p>
        </w:tc>
        <w:tc>
          <w:tcPr>
            <w:tcW w:w="38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中等企业</w:t>
            </w:r>
          </w:p>
        </w:tc>
        <w:tc>
          <w:tcPr>
            <w:tcW w:w="389"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小微企业</w:t>
            </w:r>
          </w:p>
        </w:tc>
        <w:tc>
          <w:tcPr>
            <w:tcW w:w="37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总数</w:t>
            </w:r>
          </w:p>
        </w:tc>
        <w:tc>
          <w:tcPr>
            <w:tcW w:w="389"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规上企业</w:t>
            </w:r>
          </w:p>
        </w:tc>
        <w:tc>
          <w:tcPr>
            <w:tcW w:w="38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中等企业</w:t>
            </w:r>
          </w:p>
        </w:tc>
        <w:tc>
          <w:tcPr>
            <w:tcW w:w="38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小微企业</w:t>
            </w:r>
          </w:p>
        </w:tc>
        <w:tc>
          <w:tcPr>
            <w:tcW w:w="389"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总数</w:t>
            </w:r>
          </w:p>
        </w:tc>
        <w:tc>
          <w:tcPr>
            <w:tcW w:w="38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规上企业</w:t>
            </w:r>
          </w:p>
        </w:tc>
        <w:tc>
          <w:tcPr>
            <w:tcW w:w="39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中等企业</w:t>
            </w:r>
          </w:p>
        </w:tc>
        <w:tc>
          <w:tcPr>
            <w:tcW w:w="38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小微企业</w:t>
            </w:r>
          </w:p>
        </w:tc>
        <w:tc>
          <w:tcPr>
            <w:tcW w:w="389"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总数</w:t>
            </w:r>
          </w:p>
        </w:tc>
        <w:tc>
          <w:tcPr>
            <w:tcW w:w="38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规上企业</w:t>
            </w:r>
          </w:p>
        </w:tc>
        <w:tc>
          <w:tcPr>
            <w:tcW w:w="38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中等企业</w:t>
            </w:r>
          </w:p>
        </w:tc>
        <w:tc>
          <w:tcPr>
            <w:tcW w:w="38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小微企业</w:t>
            </w:r>
          </w:p>
        </w:tc>
        <w:tc>
          <w:tcPr>
            <w:tcW w:w="390" w:type="dxa"/>
            <w:vMerge w:val="continue"/>
            <w:tcBorders>
              <w:top w:val="nil"/>
            </w:tcBorders>
            <w:textDirection w:val="tbRlV"/>
            <w:vAlign w:val="top"/>
          </w:tcPr>
          <w:p>
            <w:pPr>
              <w:rPr>
                <w:rFonts w:ascii="Arial"/>
                <w:sz w:val="21"/>
              </w:rPr>
            </w:pPr>
          </w:p>
        </w:tc>
        <w:tc>
          <w:tcPr>
            <w:tcW w:w="390" w:type="dxa"/>
            <w:vMerge w:val="continue"/>
            <w:tcBorders>
              <w:top w:val="nil"/>
            </w:tcBorders>
            <w:textDirection w:val="tbRlV"/>
            <w:vAlign w:val="top"/>
          </w:tcPr>
          <w:p>
            <w:pPr>
              <w:rPr>
                <w:rFonts w:ascii="Arial"/>
                <w:sz w:val="21"/>
              </w:rPr>
            </w:pPr>
          </w:p>
        </w:tc>
        <w:tc>
          <w:tcPr>
            <w:tcW w:w="379" w:type="dxa"/>
            <w:vMerge w:val="continue"/>
            <w:tcBorders>
              <w:top w:val="nil"/>
            </w:tcBorders>
            <w:textDirection w:val="tbRlV"/>
            <w:vAlign w:val="top"/>
          </w:tcPr>
          <w:p>
            <w:pPr>
              <w:rPr>
                <w:rFonts w:ascii="Arial"/>
                <w:sz w:val="21"/>
              </w:rPr>
            </w:pPr>
          </w:p>
        </w:tc>
        <w:tc>
          <w:tcPr>
            <w:tcW w:w="38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企业数（家次）</w:t>
            </w:r>
          </w:p>
        </w:tc>
        <w:tc>
          <w:tcPr>
            <w:tcW w:w="39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隐患数（条）</w:t>
            </w:r>
          </w:p>
        </w:tc>
        <w:tc>
          <w:tcPr>
            <w:tcW w:w="379"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企业数（家次）</w:t>
            </w:r>
          </w:p>
        </w:tc>
        <w:tc>
          <w:tcPr>
            <w:tcW w:w="390" w:type="dxa"/>
            <w:textDirection w:val="tbRlV"/>
            <w:vAlign w:val="top"/>
          </w:tcPr>
          <w:p>
            <w:pPr>
              <w:widowControl w:val="0"/>
              <w:kinsoku/>
              <w:autoSpaceDE/>
              <w:autoSpaceDN/>
              <w:adjustRightInd w:val="0"/>
              <w:snapToGrid w:val="0"/>
              <w:spacing w:line="360" w:lineRule="exact"/>
              <w:ind w:left="1" w:leftChars="-33" w:right="-109" w:rightChars="-52" w:hanging="70" w:hangingChars="29"/>
              <w:jc w:val="center"/>
              <w:textAlignment w:val="auto"/>
              <w:rPr>
                <w:rFonts w:hint="eastAsia" w:ascii="宋体" w:hAnsi="宋体" w:eastAsia="宋体" w:cs="宋体"/>
                <w:b/>
                <w:snapToGrid/>
                <w:kern w:val="2"/>
                <w:sz w:val="24"/>
                <w:szCs w:val="24"/>
                <w:lang w:val="en-US" w:eastAsia="zh-CN" w:bidi="ar-SA"/>
              </w:rPr>
            </w:pPr>
            <w:r>
              <w:rPr>
                <w:rFonts w:hint="eastAsia" w:ascii="宋体" w:hAnsi="宋体" w:eastAsia="宋体" w:cs="宋体"/>
                <w:b/>
                <w:snapToGrid/>
                <w:kern w:val="2"/>
                <w:sz w:val="24"/>
                <w:szCs w:val="24"/>
                <w:lang w:val="en-US" w:eastAsia="zh-CN" w:bidi="ar-SA"/>
              </w:rPr>
              <w:t>金额（万元）</w:t>
            </w:r>
          </w:p>
        </w:tc>
        <w:tc>
          <w:tcPr>
            <w:tcW w:w="380" w:type="dxa"/>
            <w:vMerge w:val="continue"/>
            <w:tcBorders>
              <w:top w:val="nil"/>
            </w:tcBorders>
            <w:textDirection w:val="tbRlV"/>
            <w:vAlign w:val="top"/>
          </w:tcPr>
          <w:p>
            <w:pPr>
              <w:rPr>
                <w:rFonts w:ascii="Arial"/>
                <w:sz w:val="21"/>
              </w:rPr>
            </w:pPr>
          </w:p>
        </w:tc>
        <w:tc>
          <w:tcPr>
            <w:tcW w:w="390" w:type="dxa"/>
            <w:vMerge w:val="continue"/>
            <w:tcBorders>
              <w:top w:val="nil"/>
            </w:tcBorders>
            <w:textDirection w:val="tbRlV"/>
            <w:vAlign w:val="top"/>
          </w:tcPr>
          <w:p>
            <w:pPr>
              <w:rPr>
                <w:rFonts w:ascii="Arial"/>
                <w:sz w:val="21"/>
              </w:rPr>
            </w:pPr>
          </w:p>
        </w:tc>
        <w:tc>
          <w:tcPr>
            <w:tcW w:w="380" w:type="dxa"/>
            <w:vMerge w:val="continue"/>
            <w:tcBorders>
              <w:top w:val="nil"/>
            </w:tcBorders>
            <w:textDirection w:val="tbRlV"/>
            <w:vAlign w:val="top"/>
          </w:tcPr>
          <w:p>
            <w:pPr>
              <w:rPr>
                <w:rFonts w:ascii="Arial"/>
                <w:sz w:val="21"/>
              </w:rPr>
            </w:pPr>
          </w:p>
        </w:tc>
        <w:tc>
          <w:tcPr>
            <w:tcW w:w="390" w:type="dxa"/>
            <w:vMerge w:val="continue"/>
            <w:tcBorders>
              <w:top w:val="nil"/>
            </w:tcBorders>
            <w:textDirection w:val="tbRlV"/>
            <w:vAlign w:val="top"/>
          </w:tcPr>
          <w:p>
            <w:pPr>
              <w:rPr>
                <w:rFonts w:ascii="Arial"/>
                <w:sz w:val="21"/>
              </w:rPr>
            </w:pPr>
          </w:p>
        </w:tc>
        <w:tc>
          <w:tcPr>
            <w:tcW w:w="389" w:type="dxa"/>
            <w:vMerge w:val="continue"/>
            <w:tcBorders>
              <w:top w:val="nil"/>
            </w:tcBorders>
            <w:textDirection w:val="tbRlV"/>
            <w:vAlign w:val="top"/>
          </w:tcPr>
          <w:p>
            <w:pPr>
              <w:rPr>
                <w:rFonts w:ascii="Arial"/>
                <w:sz w:val="21"/>
              </w:rPr>
            </w:pPr>
          </w:p>
        </w:tc>
        <w:tc>
          <w:tcPr>
            <w:tcW w:w="380" w:type="dxa"/>
            <w:vMerge w:val="continue"/>
            <w:tcBorders>
              <w:top w:val="nil"/>
            </w:tcBorders>
            <w:textDirection w:val="tbRlV"/>
            <w:vAlign w:val="top"/>
          </w:tcPr>
          <w:p>
            <w:pPr>
              <w:rPr>
                <w:rFonts w:ascii="Arial"/>
                <w:sz w:val="21"/>
              </w:rPr>
            </w:pPr>
          </w:p>
        </w:tc>
        <w:tc>
          <w:tcPr>
            <w:tcW w:w="390" w:type="dxa"/>
            <w:vMerge w:val="continue"/>
            <w:tcBorders>
              <w:top w:val="nil"/>
            </w:tcBorders>
            <w:textDirection w:val="tbRlV"/>
            <w:vAlign w:val="top"/>
          </w:tcPr>
          <w:p>
            <w:pPr>
              <w:rPr>
                <w:rFonts w:ascii="Arial"/>
                <w:sz w:val="21"/>
              </w:rPr>
            </w:pPr>
          </w:p>
        </w:tc>
        <w:tc>
          <w:tcPr>
            <w:tcW w:w="402" w:type="dxa"/>
            <w:vMerge w:val="continue"/>
            <w:tcBorders>
              <w:top w:val="nil"/>
            </w:tcBorders>
            <w:textDirection w:val="tbRlV"/>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1004"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r>
              <w:rPr>
                <w:rFonts w:hint="eastAsia" w:ascii="仿宋" w:hAnsi="仿宋" w:eastAsia="仿宋" w:cs="仿宋"/>
                <w:snapToGrid/>
                <w:kern w:val="0"/>
                <w:sz w:val="24"/>
                <w:szCs w:val="24"/>
                <w:lang w:val="en-US" w:eastAsia="zh-CN" w:bidi="ar-SA"/>
              </w:rPr>
              <w:t>市直单位</w:t>
            </w: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7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7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7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402"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1004"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r>
              <w:rPr>
                <w:rFonts w:hint="eastAsia" w:ascii="仿宋" w:hAnsi="仿宋" w:eastAsia="仿宋" w:cs="仿宋"/>
                <w:snapToGrid/>
                <w:kern w:val="0"/>
                <w:sz w:val="24"/>
                <w:szCs w:val="24"/>
                <w:lang w:val="en-US" w:eastAsia="zh-CN" w:bidi="ar-SA"/>
              </w:rPr>
              <w:t>乡镇（街道、开发区）</w:t>
            </w: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7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7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7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9"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8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390"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c>
          <w:tcPr>
            <w:tcW w:w="402" w:type="dxa"/>
            <w:vAlign w:val="top"/>
          </w:tcPr>
          <w:p>
            <w:pPr>
              <w:widowControl w:val="0"/>
              <w:kinsoku/>
              <w:autoSpaceDE/>
              <w:autoSpaceDN/>
              <w:adjustRightInd/>
              <w:snapToGrid/>
              <w:spacing w:line="400" w:lineRule="exact"/>
              <w:ind w:left="-111" w:leftChars="-53" w:right="-107" w:rightChars="-51"/>
              <w:jc w:val="center"/>
              <w:textAlignment w:val="auto"/>
              <w:rPr>
                <w:rFonts w:hint="eastAsia" w:ascii="仿宋" w:hAnsi="仿宋" w:eastAsia="仿宋" w:cs="仿宋"/>
                <w:snapToGrid/>
                <w:kern w:val="0"/>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219" w:beforeLines="70" w:line="480" w:lineRule="exact"/>
        <w:textAlignment w:val="auto"/>
        <w:rPr>
          <w:rFonts w:ascii="仿宋" w:hAnsi="仿宋" w:eastAsia="仿宋"/>
          <w:sz w:val="28"/>
          <w:szCs w:val="28"/>
          <w:u w:val="single"/>
        </w:rPr>
      </w:pPr>
      <w:r>
        <w:rPr>
          <w:rFonts w:hint="eastAsia" w:ascii="仿宋" w:hAnsi="仿宋" w:eastAsia="仿宋"/>
          <w:sz w:val="28"/>
          <w:szCs w:val="28"/>
        </w:rPr>
        <w:t>填报单位(盖章)：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填表人：</w:t>
      </w:r>
      <w:r>
        <w:rPr>
          <w:rFonts w:hint="eastAsia" w:ascii="仿宋" w:hAnsi="仿宋" w:eastAsia="仿宋"/>
          <w:sz w:val="28"/>
          <w:szCs w:val="28"/>
          <w:u w:val="single"/>
        </w:rPr>
        <w:t xml:space="preserve">         </w:t>
      </w:r>
      <w:r>
        <w:rPr>
          <w:rFonts w:hint="eastAsia" w:ascii="仿宋" w:hAnsi="仿宋" w:eastAsia="仿宋"/>
          <w:sz w:val="28"/>
          <w:szCs w:val="28"/>
        </w:rPr>
        <w:t xml:space="preserve">   联系电话：</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填表日期：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keepNext w:val="0"/>
        <w:keepLines w:val="0"/>
        <w:pageBreakBefore w:val="0"/>
        <w:widowControl/>
        <w:kinsoku w:val="0"/>
        <w:wordWrap/>
        <w:overflowPunct/>
        <w:topLinePunct w:val="0"/>
        <w:autoSpaceDE w:val="0"/>
        <w:autoSpaceDN w:val="0"/>
        <w:bidi w:val="0"/>
        <w:adjustRightInd w:val="0"/>
        <w:snapToGrid w:val="0"/>
        <w:spacing w:before="123" w:line="248" w:lineRule="auto"/>
        <w:ind w:firstLine="482" w:firstLineChars="200"/>
        <w:jc w:val="both"/>
        <w:textAlignment w:val="baseline"/>
        <w:sectPr>
          <w:type w:val="continuous"/>
          <w:pgSz w:w="16830" w:h="11900"/>
          <w:pgMar w:top="1011" w:right="597" w:bottom="804" w:left="520" w:header="0" w:footer="515" w:gutter="0"/>
          <w:pgNumType w:fmt="numberInDash"/>
          <w:cols w:equalWidth="0" w:num="1">
            <w:col w:w="15713"/>
          </w:cols>
        </w:sectPr>
      </w:pPr>
      <w:r>
        <w:rPr>
          <w:rFonts w:hint="eastAsia" w:ascii="Times New Roman" w:hAnsi="Times New Roman" w:eastAsia="宋体" w:cs="Times New Roman"/>
          <w:b/>
          <w:bCs/>
          <w:snapToGrid/>
          <w:kern w:val="2"/>
          <w:sz w:val="24"/>
          <w:szCs w:val="24"/>
          <w:lang w:val="en-US" w:eastAsia="zh-CN" w:bidi="ar-SA"/>
        </w:rPr>
        <w:t>注：</w:t>
      </w:r>
      <w:r>
        <w:rPr>
          <w:rFonts w:hint="eastAsia" w:ascii="Times New Roman" w:hAnsi="Times New Roman" w:eastAsia="宋体" w:cs="Times New Roman"/>
          <w:snapToGrid/>
          <w:kern w:val="2"/>
          <w:sz w:val="24"/>
          <w:szCs w:val="24"/>
          <w:lang w:val="en-US" w:eastAsia="zh-CN" w:bidi="ar-SA"/>
        </w:rPr>
        <w:t>1.各填报单位按照各自所属的单位类型进行填报；2.四色安全风险分级动态监管指的是对企业安全生产状况进行整体评估，按照“红、橙、黄、蓝” 确定企业整体安全风险等级；</w:t>
      </w:r>
      <w:r>
        <w:rPr>
          <w:rFonts w:hint="eastAsia" w:ascii="Times New Roman" w:hAnsi="Times New Roman" w:eastAsia="宋体" w:cs="Times New Roman"/>
          <w:snapToGrid/>
          <w:kern w:val="2"/>
          <w:sz w:val="24"/>
          <w:szCs w:val="24"/>
          <w:highlight w:val="none"/>
          <w:lang w:val="en-US" w:eastAsia="zh-CN" w:bidi="ar-SA"/>
        </w:rPr>
        <w:t>3.市直单位填报的数据只填报本单位巩固提高进展情况；</w:t>
      </w:r>
      <w:r>
        <w:rPr>
          <w:rFonts w:hint="eastAsia" w:ascii="Times New Roman" w:hAnsi="Times New Roman" w:eastAsia="宋体" w:cs="Times New Roman"/>
          <w:snapToGrid/>
          <w:kern w:val="2"/>
          <w:sz w:val="24"/>
          <w:szCs w:val="24"/>
          <w:lang w:val="en-US" w:eastAsia="zh-CN" w:bidi="ar-SA"/>
        </w:rPr>
        <w:t>4.各乡镇（街道、开发区）填报的数据应包含本辖区各行业领域的数据；5.每月月底前上报上一个月巩固提高进展情况；6.激励、约束是指除执法外运用经济政策、社会荣誉、信贷信用、投融资、保险费率等单项或多项综合措施给予有关企业的激励、约束。</w:t>
      </w:r>
    </w:p>
    <w:p>
      <w:bookmarkStart w:id="0" w:name="_GoBack"/>
      <w:bookmarkEnd w:id="0"/>
    </w:p>
    <w:p/>
    <w:p/>
    <w:p/>
    <w:p/>
    <w:p/>
    <w:p/>
    <w:p/>
    <w:p/>
    <w:p/>
    <w:p/>
    <w:p/>
    <w:p/>
    <w:p/>
    <w:p/>
    <w:p/>
    <w:p/>
    <w:p/>
    <w:p/>
    <w:p>
      <w:pPr>
        <w:spacing w:line="600" w:lineRule="exact"/>
        <w:rPr>
          <w:rFonts w:hint="eastAsia" w:ascii="仿宋" w:hAnsi="仿宋" w:eastAsia="仿宋"/>
          <w:snapToGrid w:val="0"/>
          <w:kern w:val="0"/>
          <w:sz w:val="28"/>
          <w:szCs w:val="28"/>
        </w:rPr>
      </w:pPr>
    </w:p>
    <w:sectPr>
      <w:footerReference r:id="rId6" w:type="default"/>
      <w:pgSz w:w="11900" w:h="16830"/>
      <w:pgMar w:top="1430" w:right="1309" w:bottom="1167" w:left="1470" w:header="0" w:footer="888"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3469"/>
      <w:rPr>
        <w:rFonts w:ascii="宋体" w:hAnsi="宋体" w:eastAsia="宋体" w:cs="宋体"/>
        <w:sz w:val="29"/>
        <w:szCs w:val="29"/>
      </w:rPr>
    </w:pPr>
    <w:r>
      <w:rPr>
        <w:sz w:val="29"/>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- 19 -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- 19 -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530"/>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- 20 -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- 20 -</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0"/>
  <w:displayVerticalDrawingGridEvery w:val="2"/>
  <w:characterSpacingControl w:val="doNotCompres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YTU5ZTU4ZmIyNWIzZTdmOGVkN2QzOTBmMzAyYzQ3MjYifQ=="/>
  </w:docVars>
  <w:rsids>
    <w:rsidRoot w:val="00000000"/>
    <w:rsid w:val="0194674A"/>
    <w:rsid w:val="01DD3C4D"/>
    <w:rsid w:val="01E73543"/>
    <w:rsid w:val="08737D72"/>
    <w:rsid w:val="092C4CF1"/>
    <w:rsid w:val="09321CF9"/>
    <w:rsid w:val="093323A4"/>
    <w:rsid w:val="09620693"/>
    <w:rsid w:val="0B7278B7"/>
    <w:rsid w:val="0DFC518D"/>
    <w:rsid w:val="0E572FD9"/>
    <w:rsid w:val="0F114F36"/>
    <w:rsid w:val="0F2C7FC2"/>
    <w:rsid w:val="0F831C97"/>
    <w:rsid w:val="0F8C280E"/>
    <w:rsid w:val="0FD3043D"/>
    <w:rsid w:val="10545A22"/>
    <w:rsid w:val="10CA0068"/>
    <w:rsid w:val="115F642C"/>
    <w:rsid w:val="118844FE"/>
    <w:rsid w:val="14495172"/>
    <w:rsid w:val="15262561"/>
    <w:rsid w:val="15A308B2"/>
    <w:rsid w:val="15C50828"/>
    <w:rsid w:val="18163E46"/>
    <w:rsid w:val="18476C4F"/>
    <w:rsid w:val="18B828C6"/>
    <w:rsid w:val="1B7900EB"/>
    <w:rsid w:val="1C8A70B8"/>
    <w:rsid w:val="1C9D605B"/>
    <w:rsid w:val="1D263935"/>
    <w:rsid w:val="1DF43A0F"/>
    <w:rsid w:val="1F9A4AD4"/>
    <w:rsid w:val="201E74B3"/>
    <w:rsid w:val="209634ED"/>
    <w:rsid w:val="23641680"/>
    <w:rsid w:val="252A68FA"/>
    <w:rsid w:val="285B6F39"/>
    <w:rsid w:val="28B0223E"/>
    <w:rsid w:val="29A7676B"/>
    <w:rsid w:val="2CD86C3B"/>
    <w:rsid w:val="2DDD09AD"/>
    <w:rsid w:val="2EBE2567"/>
    <w:rsid w:val="2F6A44C2"/>
    <w:rsid w:val="2F983DE7"/>
    <w:rsid w:val="31552F50"/>
    <w:rsid w:val="32DF2AD1"/>
    <w:rsid w:val="33AD497E"/>
    <w:rsid w:val="35C410F8"/>
    <w:rsid w:val="372D1FC1"/>
    <w:rsid w:val="37F123DD"/>
    <w:rsid w:val="3848736B"/>
    <w:rsid w:val="384E0462"/>
    <w:rsid w:val="38926838"/>
    <w:rsid w:val="38E64D03"/>
    <w:rsid w:val="38F60B75"/>
    <w:rsid w:val="39DA27B9"/>
    <w:rsid w:val="3AA20FB4"/>
    <w:rsid w:val="3B0C28D2"/>
    <w:rsid w:val="3BB371F1"/>
    <w:rsid w:val="3CD8317A"/>
    <w:rsid w:val="3D7E5ABA"/>
    <w:rsid w:val="3DBF00CF"/>
    <w:rsid w:val="3DE6565C"/>
    <w:rsid w:val="3E0930F8"/>
    <w:rsid w:val="3E467EA9"/>
    <w:rsid w:val="3E9230EE"/>
    <w:rsid w:val="4004351A"/>
    <w:rsid w:val="400D3374"/>
    <w:rsid w:val="404A1343"/>
    <w:rsid w:val="40D23C76"/>
    <w:rsid w:val="429E7F32"/>
    <w:rsid w:val="434626F9"/>
    <w:rsid w:val="43EA40F7"/>
    <w:rsid w:val="45433394"/>
    <w:rsid w:val="45D40490"/>
    <w:rsid w:val="46B1679D"/>
    <w:rsid w:val="47AA76FA"/>
    <w:rsid w:val="482E1968"/>
    <w:rsid w:val="4AC42881"/>
    <w:rsid w:val="4C1930A0"/>
    <w:rsid w:val="4D331F40"/>
    <w:rsid w:val="52B551A5"/>
    <w:rsid w:val="52F27E64"/>
    <w:rsid w:val="54FE72D7"/>
    <w:rsid w:val="55467D56"/>
    <w:rsid w:val="55C06301"/>
    <w:rsid w:val="561014A4"/>
    <w:rsid w:val="57996131"/>
    <w:rsid w:val="58896EB8"/>
    <w:rsid w:val="5A5254D2"/>
    <w:rsid w:val="5C1E200D"/>
    <w:rsid w:val="5E5341F0"/>
    <w:rsid w:val="614A41EC"/>
    <w:rsid w:val="61923281"/>
    <w:rsid w:val="62571DD5"/>
    <w:rsid w:val="63B82D47"/>
    <w:rsid w:val="683055A2"/>
    <w:rsid w:val="68AB2EFA"/>
    <w:rsid w:val="69861FB1"/>
    <w:rsid w:val="69BD2E65"/>
    <w:rsid w:val="6A7D0E05"/>
    <w:rsid w:val="6AC50223"/>
    <w:rsid w:val="6B252A70"/>
    <w:rsid w:val="6BC53CE9"/>
    <w:rsid w:val="6BCA24C6"/>
    <w:rsid w:val="6D0B3EE8"/>
    <w:rsid w:val="6D965EA7"/>
    <w:rsid w:val="6D9B34BE"/>
    <w:rsid w:val="6EC151A6"/>
    <w:rsid w:val="6ED44ED9"/>
    <w:rsid w:val="6F4436E1"/>
    <w:rsid w:val="71E40AD7"/>
    <w:rsid w:val="72133F6A"/>
    <w:rsid w:val="72A93DF6"/>
    <w:rsid w:val="745443C6"/>
    <w:rsid w:val="74CB0B2C"/>
    <w:rsid w:val="75994786"/>
    <w:rsid w:val="76A71125"/>
    <w:rsid w:val="770A5210"/>
    <w:rsid w:val="78250553"/>
    <w:rsid w:val="7A6A7B33"/>
    <w:rsid w:val="7B773FD5"/>
    <w:rsid w:val="7C3A12F7"/>
    <w:rsid w:val="7CBA20D0"/>
    <w:rsid w:val="7D7F2CD0"/>
    <w:rsid w:val="7DD345AE"/>
    <w:rsid w:val="7E164717"/>
    <w:rsid w:val="7E576F8D"/>
    <w:rsid w:val="7F5351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next w:val="1"/>
    <w:semiHidden/>
    <w:qFormat/>
    <w:uiPriority w:val="0"/>
    <w:rPr>
      <w:rFonts w:ascii="Calibri" w:hAnsi="Calibri" w:cs="Calibri"/>
      <w:sz w:val="18"/>
      <w:szCs w:val="18"/>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paragraph" w:styleId="7">
    <w:name w:val="Body Text First Indent 2"/>
    <w:basedOn w:val="3"/>
    <w:qFormat/>
    <w:uiPriority w:val="0"/>
    <w:pPr>
      <w:ind w:firstLine="420" w:firstLineChars="200"/>
    </w:pPr>
    <w:rPr>
      <w:rFonts w:ascii="Calibri" w:hAnsi="Calibri"/>
      <w:sz w:val="32"/>
      <w:szCs w:val="32"/>
    </w:rPr>
  </w:style>
  <w:style w:type="table" w:styleId="9">
    <w:name w:val="Table Grid"/>
    <w:basedOn w:val="8"/>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1">
    <w:name w:val="page number"/>
    <w:basedOn w:val="10"/>
    <w:qFormat/>
    <w:uiPriority w:val="0"/>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666</Words>
  <Characters>676</Characters>
  <Lines>1</Lines>
  <Paragraphs>1</Paragraphs>
  <TotalTime>1467</TotalTime>
  <ScaleCrop>false</ScaleCrop>
  <LinksUpToDate>false</LinksUpToDate>
  <CharactersWithSpaces>750</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2023-01-12T10:17:00Z</dcterms:created>
  <dc:creator>Kingsoft-PDF</dc:creator>
  <cp:lastModifiedBy>淡蓝色</cp:lastModifiedBy>
  <cp:lastPrinted>2023-01-30T03:06:00Z</cp:lastPrinted>
  <dcterms:modified xsi:type="dcterms:W3CDTF">2023-02-02T07:35:48Z</dcterms:modified>
  <dc:subject>pdfbuilder</dc:subject>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2023-01-12T10:17:38Z</vt:filetime>
  </property>
  <property fmtid="{D5CDD505-2E9C-101B-9397-08002B2CF9AE}" pid="4" name="UsrData">
    <vt:lpwstr>63bf6daae817070015be449a</vt:lpwstr>
  </property>
  <property fmtid="{D5CDD505-2E9C-101B-9397-08002B2CF9AE}" pid="5" name="KSOProductBuildVer">
    <vt:lpwstr>2052-11.1.0.13703</vt:lpwstr>
  </property>
  <property fmtid="{D5CDD505-2E9C-101B-9397-08002B2CF9AE}" pid="6" name="ICV">
    <vt:lpwstr>702C2F32EF53429E8D9E0E98BDC9E9B0</vt:lpwstr>
  </property>
</Properties>
</file>