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附件2</w:t>
      </w:r>
    </w:p>
    <w:p>
      <w:pPr>
        <w:pStyle w:val="2"/>
        <w:rPr>
          <w:rFonts w:hint="default" w:ascii="Times New Roman" w:hAnsi="Times New Roman" w:cs="Times New Roman"/>
        </w:rPr>
      </w:pPr>
    </w:p>
    <w:p>
      <w:pPr>
        <w:pStyle w:val="2"/>
        <w:spacing w:line="520" w:lineRule="exact"/>
        <w:jc w:val="center"/>
        <w:rPr>
          <w:rFonts w:hint="default" w:ascii="Times New Roman" w:hAnsi="Times New Roman" w:eastAsia="方正小标宋简体" w:cs="Times New Roman"/>
          <w:b w:val="0"/>
          <w:bCs w:val="0"/>
          <w:w w:val="100"/>
          <w:sz w:val="36"/>
          <w:szCs w:val="36"/>
        </w:rPr>
      </w:pPr>
      <w:r>
        <w:rPr>
          <w:rFonts w:hint="default" w:ascii="Times New Roman" w:hAnsi="Times New Roman" w:eastAsia="方正小标宋简体" w:cs="Times New Roman"/>
          <w:b w:val="0"/>
          <w:bCs w:val="0"/>
          <w:w w:val="100"/>
          <w:sz w:val="36"/>
          <w:szCs w:val="36"/>
        </w:rPr>
        <w:t>工业行业</w:t>
      </w:r>
      <w:r>
        <w:rPr>
          <w:rFonts w:hint="eastAsia" w:ascii="Times New Roman" w:hAnsi="Times New Roman" w:eastAsia="方正小标宋简体" w:cs="Times New Roman"/>
          <w:b w:val="0"/>
          <w:bCs w:val="0"/>
          <w:w w:val="100"/>
          <w:sz w:val="36"/>
          <w:szCs w:val="36"/>
          <w:lang w:eastAsia="zh-CN"/>
        </w:rPr>
        <w:t>及特种设备</w:t>
      </w:r>
      <w:r>
        <w:rPr>
          <w:rFonts w:hint="default" w:ascii="Times New Roman" w:hAnsi="Times New Roman" w:eastAsia="方正小标宋简体" w:cs="Times New Roman"/>
          <w:b w:val="0"/>
          <w:bCs w:val="0"/>
          <w:w w:val="100"/>
          <w:sz w:val="36"/>
          <w:szCs w:val="36"/>
        </w:rPr>
        <w:t>专项整治隐患情况统计表（累计数）</w:t>
      </w:r>
    </w:p>
    <w:p>
      <w:pPr>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填报单位（盖章）：</w:t>
      </w:r>
    </w:p>
    <w:tbl>
      <w:tblPr>
        <w:tblStyle w:val="7"/>
        <w:tblW w:w="9015" w:type="dxa"/>
        <w:tblInd w:w="93" w:type="dxa"/>
        <w:tblLayout w:type="fixed"/>
        <w:tblCellMar>
          <w:top w:w="0" w:type="dxa"/>
          <w:left w:w="108" w:type="dxa"/>
          <w:bottom w:w="0" w:type="dxa"/>
          <w:right w:w="108" w:type="dxa"/>
        </w:tblCellMar>
      </w:tblPr>
      <w:tblGrid>
        <w:gridCol w:w="1275"/>
        <w:gridCol w:w="2700"/>
        <w:gridCol w:w="1260"/>
        <w:gridCol w:w="1260"/>
        <w:gridCol w:w="1440"/>
        <w:gridCol w:w="1080"/>
      </w:tblGrid>
      <w:tr>
        <w:tblPrEx>
          <w:tblLayout w:type="fixed"/>
          <w:tblCellMar>
            <w:top w:w="0" w:type="dxa"/>
            <w:left w:w="108" w:type="dxa"/>
            <w:bottom w:w="0" w:type="dxa"/>
            <w:right w:w="108" w:type="dxa"/>
          </w:tblCellMar>
        </w:tblPrEx>
        <w:trPr>
          <w:trHeight w:val="1110" w:hRule="atLeast"/>
        </w:trPr>
        <w:tc>
          <w:tcPr>
            <w:tcW w:w="1275" w:type="dxa"/>
            <w:tcBorders>
              <w:top w:val="single" w:color="auto" w:sz="8"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行业</w:t>
            </w:r>
            <w:r>
              <w:rPr>
                <w:rFonts w:hint="default" w:ascii="Times New Roman" w:hAnsi="Times New Roman" w:eastAsia="黑体" w:cs="Times New Roman"/>
                <w:kern w:val="0"/>
                <w:sz w:val="28"/>
                <w:szCs w:val="28"/>
              </w:rPr>
              <w:br w:type="textWrapping"/>
            </w:r>
            <w:r>
              <w:rPr>
                <w:rFonts w:hint="default" w:ascii="Times New Roman" w:hAnsi="Times New Roman" w:eastAsia="黑体" w:cs="Times New Roman"/>
                <w:kern w:val="0"/>
                <w:sz w:val="28"/>
                <w:szCs w:val="28"/>
              </w:rPr>
              <w:t>（领域）</w:t>
            </w:r>
          </w:p>
        </w:tc>
        <w:tc>
          <w:tcPr>
            <w:tcW w:w="2700" w:type="dxa"/>
            <w:tcBorders>
              <w:top w:val="single" w:color="auto" w:sz="8"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隐患项目</w:t>
            </w:r>
          </w:p>
        </w:tc>
        <w:tc>
          <w:tcPr>
            <w:tcW w:w="1260" w:type="dxa"/>
            <w:tcBorders>
              <w:top w:val="single" w:color="auto" w:sz="8"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当日数</w:t>
            </w:r>
          </w:p>
        </w:tc>
        <w:tc>
          <w:tcPr>
            <w:tcW w:w="1260" w:type="dxa"/>
            <w:tcBorders>
              <w:top w:val="single" w:color="auto" w:sz="8"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累计数</w:t>
            </w:r>
          </w:p>
        </w:tc>
        <w:tc>
          <w:tcPr>
            <w:tcW w:w="1440" w:type="dxa"/>
            <w:tcBorders>
              <w:top w:val="single" w:color="auto" w:sz="8"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累计</w:t>
            </w:r>
            <w:r>
              <w:rPr>
                <w:rFonts w:hint="default" w:ascii="Times New Roman" w:hAnsi="Times New Roman" w:eastAsia="黑体" w:cs="Times New Roman"/>
                <w:kern w:val="0"/>
                <w:sz w:val="28"/>
                <w:szCs w:val="28"/>
              </w:rPr>
              <w:br w:type="textWrapping"/>
            </w:r>
            <w:r>
              <w:rPr>
                <w:rFonts w:hint="default" w:ascii="Times New Roman" w:hAnsi="Times New Roman" w:eastAsia="黑体" w:cs="Times New Roman"/>
                <w:kern w:val="0"/>
                <w:sz w:val="28"/>
                <w:szCs w:val="28"/>
              </w:rPr>
              <w:t>整治数</w:t>
            </w:r>
          </w:p>
        </w:tc>
        <w:tc>
          <w:tcPr>
            <w:tcW w:w="1080" w:type="dxa"/>
            <w:tcBorders>
              <w:top w:val="single" w:color="auto" w:sz="8" w:space="0"/>
              <w:left w:val="nil"/>
              <w:bottom w:val="single" w:color="auto" w:sz="4" w:space="0"/>
              <w:right w:val="single" w:color="auto" w:sz="8" w:space="0"/>
            </w:tcBorders>
            <w:vAlign w:val="center"/>
          </w:tcPr>
          <w:p>
            <w:pPr>
              <w:widowControl/>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整治率</w:t>
            </w:r>
          </w:p>
        </w:tc>
      </w:tr>
      <w:tr>
        <w:tblPrEx>
          <w:tblLayout w:type="fixed"/>
          <w:tblCellMar>
            <w:top w:w="0" w:type="dxa"/>
            <w:left w:w="108" w:type="dxa"/>
            <w:bottom w:w="0" w:type="dxa"/>
            <w:right w:w="108" w:type="dxa"/>
          </w:tblCellMar>
        </w:tblPrEx>
        <w:trPr>
          <w:trHeight w:val="735" w:hRule="atLeast"/>
        </w:trPr>
        <w:tc>
          <w:tcPr>
            <w:tcW w:w="1275" w:type="dxa"/>
            <w:vMerge w:val="restart"/>
            <w:tcBorders>
              <w:top w:val="nil"/>
              <w:left w:val="single" w:color="auto" w:sz="8" w:space="0"/>
              <w:right w:val="single" w:color="auto"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厂房</w:t>
            </w:r>
          </w:p>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仓库</w:t>
            </w: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szCs w:val="22"/>
                <w:lang w:val="zh-TW" w:eastAsia="zh-TW"/>
              </w:rPr>
              <w:t>安全设备设施施</w:t>
            </w:r>
            <w:r>
              <w:rPr>
                <w:rFonts w:hint="default" w:ascii="Times New Roman" w:hAnsi="Times New Roman" w:cs="Times New Roman"/>
                <w:color w:val="000000"/>
                <w:szCs w:val="22"/>
                <w:lang w:val="zh-TW"/>
              </w:rPr>
              <w:t>缺失、维护不到位</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35" w:hRule="atLeast"/>
        </w:trPr>
        <w:tc>
          <w:tcPr>
            <w:tcW w:w="1275" w:type="dxa"/>
            <w:vMerge w:val="continue"/>
            <w:tcBorders>
              <w:left w:val="single" w:color="auto" w:sz="8" w:space="0"/>
              <w:right w:val="single" w:color="auto" w:sz="4" w:space="0"/>
            </w:tcBorders>
            <w:vAlign w:val="center"/>
          </w:tcPr>
          <w:p>
            <w:pPr>
              <w:widowControl/>
              <w:jc w:val="left"/>
              <w:rPr>
                <w:rFonts w:hint="default" w:ascii="Times New Roman" w:hAnsi="Times New Roman" w:cs="Times New Roman"/>
                <w:b/>
                <w:bCs/>
                <w:kern w:val="0"/>
                <w:sz w:val="24"/>
              </w:rPr>
            </w:pP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rPr>
              <w:t>作业场所危险辩识、安全警示不到位</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35" w:hRule="atLeast"/>
        </w:trPr>
        <w:tc>
          <w:tcPr>
            <w:tcW w:w="1275" w:type="dxa"/>
            <w:vMerge w:val="continue"/>
            <w:tcBorders>
              <w:left w:val="single" w:color="auto" w:sz="8" w:space="0"/>
              <w:right w:val="single" w:color="auto" w:sz="4" w:space="0"/>
            </w:tcBorders>
            <w:vAlign w:val="center"/>
          </w:tcPr>
          <w:p>
            <w:pPr>
              <w:widowControl/>
              <w:jc w:val="center"/>
              <w:rPr>
                <w:rFonts w:hint="default" w:ascii="Times New Roman" w:hAnsi="Times New Roman" w:cs="Times New Roman"/>
                <w:b/>
                <w:bCs/>
                <w:kern w:val="0"/>
                <w:sz w:val="24"/>
              </w:rPr>
            </w:pP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rPr>
              <w:t>违规用电，超负荷用电，电气线路私拉乱接、未套管入槽</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35" w:hRule="atLeast"/>
        </w:trPr>
        <w:tc>
          <w:tcPr>
            <w:tcW w:w="1275" w:type="dxa"/>
            <w:vMerge w:val="continue"/>
            <w:tcBorders>
              <w:left w:val="single" w:color="auto" w:sz="8" w:space="0"/>
              <w:right w:val="single" w:color="auto" w:sz="4" w:space="0"/>
            </w:tcBorders>
            <w:vAlign w:val="center"/>
          </w:tcPr>
          <w:p>
            <w:pPr>
              <w:widowControl/>
              <w:jc w:val="left"/>
              <w:rPr>
                <w:rFonts w:hint="default" w:ascii="Times New Roman" w:hAnsi="Times New Roman" w:cs="Times New Roman"/>
                <w:b/>
                <w:bCs/>
                <w:kern w:val="0"/>
                <w:sz w:val="24"/>
              </w:rPr>
            </w:pP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rPr>
              <w:t>违规用气，或使用区域安全设施缺失、损坏；</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35" w:hRule="atLeast"/>
        </w:trPr>
        <w:tc>
          <w:tcPr>
            <w:tcW w:w="1275" w:type="dxa"/>
            <w:vMerge w:val="continue"/>
            <w:tcBorders>
              <w:left w:val="single" w:color="auto" w:sz="8"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rPr>
            </w:pP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rPr>
            </w:pPr>
            <w:r>
              <w:rPr>
                <w:rFonts w:hint="default" w:ascii="Times New Roman" w:hAnsi="Times New Roman" w:cs="Times New Roman"/>
                <w:color w:val="000000"/>
                <w:lang w:val="zh-TW" w:eastAsia="zh-TW"/>
              </w:rPr>
              <w:t>预防泄漏、中毒、窒息、爆炸等</w:t>
            </w:r>
            <w:r>
              <w:rPr>
                <w:rFonts w:hint="eastAsia" w:ascii="Times New Roman" w:hAnsi="Times New Roman" w:cs="Times New Roman"/>
                <w:color w:val="000000"/>
                <w:lang w:val="zh-TW" w:eastAsia="zh-CN"/>
              </w:rPr>
              <w:t>管控措施</w:t>
            </w:r>
            <w:r>
              <w:rPr>
                <w:rFonts w:hint="default" w:ascii="Times New Roman" w:hAnsi="Times New Roman" w:cs="Times New Roman"/>
                <w:color w:val="000000"/>
                <w:lang w:val="zh-TW" w:eastAsia="zh-TW"/>
              </w:rPr>
              <w:t>不到位</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p>
        </w:tc>
      </w:tr>
      <w:tr>
        <w:tblPrEx>
          <w:tblLayout w:type="fixed"/>
          <w:tblCellMar>
            <w:top w:w="0" w:type="dxa"/>
            <w:left w:w="108" w:type="dxa"/>
            <w:bottom w:w="0" w:type="dxa"/>
            <w:right w:w="108" w:type="dxa"/>
          </w:tblCellMar>
        </w:tblPrEx>
        <w:trPr>
          <w:trHeight w:val="735" w:hRule="atLeast"/>
        </w:trPr>
        <w:tc>
          <w:tcPr>
            <w:tcW w:w="1275" w:type="dxa"/>
            <w:vMerge w:val="restart"/>
            <w:tcBorders>
              <w:top w:val="nil"/>
              <w:left w:val="single" w:color="auto" w:sz="8"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陆上油气长输管道</w:t>
            </w: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第三方违法施工</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35" w:hRule="atLeast"/>
        </w:trPr>
        <w:tc>
          <w:tcPr>
            <w:tcW w:w="1275"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rPr>
            </w:pPr>
          </w:p>
        </w:tc>
        <w:tc>
          <w:tcPr>
            <w:tcW w:w="27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非法占压</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nil"/>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1070" w:hRule="atLeast"/>
        </w:trPr>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冶金等行业企业</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szCs w:val="20"/>
              </w:rPr>
            </w:pPr>
            <w:r>
              <w:rPr>
                <w:rFonts w:hint="default" w:ascii="Times New Roman" w:hAnsi="Times New Roman" w:cs="Times New Roman"/>
                <w:kern w:val="0"/>
                <w:sz w:val="24"/>
              </w:rPr>
              <w:t>粉尘涉爆、有限空间</w:t>
            </w:r>
            <w:r>
              <w:rPr>
                <w:rFonts w:hint="default" w:ascii="Times New Roman" w:hAnsi="Times New Roman" w:cs="Times New Roman"/>
                <w:kern w:val="0"/>
                <w:sz w:val="24"/>
                <w:lang w:eastAsia="zh-CN"/>
              </w:rPr>
              <w:t>、动火</w:t>
            </w:r>
            <w:r>
              <w:rPr>
                <w:rFonts w:hint="default" w:ascii="Times New Roman" w:hAnsi="Times New Roman" w:cs="Times New Roman"/>
                <w:kern w:val="0"/>
                <w:sz w:val="24"/>
              </w:rPr>
              <w:t>作业、涉氨制冷、冶金煤气作业</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1096" w:hRule="atLeast"/>
        </w:trPr>
        <w:tc>
          <w:tcPr>
            <w:tcW w:w="1275" w:type="dxa"/>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kern w:val="0"/>
                <w:sz w:val="24"/>
                <w:lang w:eastAsia="zh-CN"/>
              </w:rPr>
            </w:pPr>
            <w:r>
              <w:rPr>
                <w:rFonts w:hint="default" w:ascii="Times New Roman" w:hAnsi="Times New Roman" w:cs="Times New Roman"/>
                <w:b/>
                <w:bCs/>
                <w:kern w:val="0"/>
                <w:sz w:val="24"/>
                <w:lang w:eastAsia="zh-CN"/>
              </w:rPr>
              <w:t>特种设备</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szCs w:val="22"/>
              </w:rPr>
              <w:t>锅炉、压力容器管道、电梯、起重搬运机械等</w:t>
            </w:r>
            <w:r>
              <w:rPr>
                <w:rFonts w:hint="default" w:ascii="Times New Roman" w:hAnsi="Times New Roman" w:cs="Times New Roman"/>
                <w:color w:val="000000"/>
              </w:rPr>
              <w:t>特种设备安全隐患</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080" w:type="dxa"/>
            <w:tcBorders>
              <w:top w:val="single" w:color="auto" w:sz="4" w:space="0"/>
              <w:left w:val="nil"/>
              <w:bottom w:val="single" w:color="auto" w:sz="4" w:space="0"/>
              <w:right w:val="single" w:color="auto" w:sz="8"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1367" w:hRule="atLeast"/>
        </w:trPr>
        <w:tc>
          <w:tcPr>
            <w:tcW w:w="1275" w:type="dxa"/>
            <w:tcBorders>
              <w:top w:val="nil"/>
              <w:left w:val="single" w:color="auto" w:sz="8" w:space="0"/>
              <w:bottom w:val="single" w:color="auto" w:sz="8" w:space="0"/>
              <w:right w:val="single" w:color="auto" w:sz="4" w:space="0"/>
            </w:tcBorders>
            <w:vAlign w:val="center"/>
          </w:tcPr>
          <w:p>
            <w:pPr>
              <w:widowControl/>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备  注</w:t>
            </w:r>
          </w:p>
        </w:tc>
        <w:tc>
          <w:tcPr>
            <w:tcW w:w="7740" w:type="dxa"/>
            <w:gridSpan w:val="5"/>
            <w:tcBorders>
              <w:top w:val="single" w:color="auto" w:sz="4" w:space="0"/>
              <w:left w:val="nil"/>
              <w:bottom w:val="single" w:color="auto" w:sz="8" w:space="0"/>
              <w:right w:val="single" w:color="000000" w:sz="8" w:space="0"/>
            </w:tcBorders>
            <w:vAlign w:val="center"/>
          </w:tcPr>
          <w:p>
            <w:pPr>
              <w:widowControl/>
              <w:jc w:val="center"/>
              <w:rPr>
                <w:rFonts w:hint="default" w:ascii="Times New Roman" w:hAnsi="Times New Roman" w:cs="Times New Roman"/>
                <w:kern w:val="0"/>
                <w:sz w:val="24"/>
              </w:rPr>
            </w:pPr>
          </w:p>
        </w:tc>
      </w:tr>
    </w:tbl>
    <w:p>
      <w:pPr>
        <w:spacing w:line="600" w:lineRule="exact"/>
        <w:jc w:val="left"/>
        <w:rPr>
          <w:rFonts w:hint="default" w:ascii="Times New Roman" w:hAnsi="Times New Roman" w:eastAsia="仿宋" w:cs="Times New Roman"/>
          <w:sz w:val="32"/>
          <w:szCs w:val="32"/>
        </w:rPr>
      </w:pPr>
    </w:p>
    <w:p>
      <w:pPr>
        <w:spacing w:line="600" w:lineRule="exact"/>
        <w:jc w:val="left"/>
        <w:rPr>
          <w:rFonts w:hint="default" w:ascii="Times New Roman" w:hAnsi="Times New Roman" w:eastAsia="仿宋" w:cs="Times New Roman"/>
          <w:sz w:val="32"/>
          <w:szCs w:val="32"/>
        </w:rPr>
      </w:pPr>
    </w:p>
    <w:p>
      <w:pPr>
        <w:rPr>
          <w:rFonts w:hint="default" w:ascii="Times New Roman" w:hAnsi="Times New Roman" w:cs="Times New Roman"/>
        </w:rPr>
      </w:pPr>
      <w:bookmarkStart w:id="0" w:name="_GoBack"/>
      <w:bookmarkEnd w:id="0"/>
    </w:p>
    <w:sectPr>
      <w:footerReference r:id="rId3" w:type="default"/>
      <w:pgSz w:w="11906" w:h="16838"/>
      <w:pgMar w:top="1587" w:right="1417" w:bottom="147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DotumChe">
    <w:panose1 w:val="020B0609000101010101"/>
    <w:charset w:val="81"/>
    <w:family w:val="modern"/>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宋体"/>
        <w:sz w:val="24"/>
      </w:rPr>
    </w:pPr>
    <w:r>
      <w:rPr>
        <w:rStyle w:val="6"/>
        <w:rFonts w:hint="eastAsia" w:ascii="仿宋" w:hAnsi="仿宋" w:eastAsia="仿宋"/>
        <w:sz w:val="24"/>
      </w:rPr>
      <w:t xml:space="preserve">- </w:t>
    </w:r>
    <w:r>
      <w:rPr>
        <w:rFonts w:ascii="仿宋" w:hAnsi="仿宋" w:eastAsia="仿宋"/>
        <w:sz w:val="24"/>
      </w:rPr>
      <w:fldChar w:fldCharType="begin"/>
    </w:r>
    <w:r>
      <w:rPr>
        <w:rStyle w:val="6"/>
        <w:rFonts w:ascii="仿宋" w:hAnsi="仿宋" w:eastAsia="仿宋"/>
        <w:sz w:val="24"/>
      </w:rPr>
      <w:instrText xml:space="preserve"> PAGE </w:instrText>
    </w:r>
    <w:r>
      <w:rPr>
        <w:rFonts w:ascii="仿宋" w:hAnsi="仿宋" w:eastAsia="仿宋"/>
        <w:sz w:val="24"/>
      </w:rPr>
      <w:fldChar w:fldCharType="separate"/>
    </w:r>
    <w:r>
      <w:rPr>
        <w:rStyle w:val="6"/>
        <w:rFonts w:ascii="仿宋" w:hAnsi="仿宋" w:eastAsia="仿宋"/>
        <w:sz w:val="24"/>
      </w:rPr>
      <w:t>2</w:t>
    </w:r>
    <w:r>
      <w:rPr>
        <w:rFonts w:ascii="仿宋" w:hAnsi="仿宋" w:eastAsia="仿宋"/>
        <w:sz w:val="24"/>
      </w:rPr>
      <w:fldChar w:fldCharType="end"/>
    </w:r>
    <w:r>
      <w:rPr>
        <w:rStyle w:val="6"/>
        <w:rFonts w:hint="eastAsia" w:ascii="仿宋" w:hAnsi="仿宋" w:eastAsia="仿宋"/>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3CA1"/>
    <w:rsid w:val="002B5C96"/>
    <w:rsid w:val="024920D8"/>
    <w:rsid w:val="025C52D6"/>
    <w:rsid w:val="0CFA629B"/>
    <w:rsid w:val="1912291A"/>
    <w:rsid w:val="19760A1F"/>
    <w:rsid w:val="1ABC7FB6"/>
    <w:rsid w:val="1F1B1F9A"/>
    <w:rsid w:val="220C05F7"/>
    <w:rsid w:val="297A5439"/>
    <w:rsid w:val="2CFF6EAD"/>
    <w:rsid w:val="2FC67D2D"/>
    <w:rsid w:val="33092878"/>
    <w:rsid w:val="348B5C9A"/>
    <w:rsid w:val="3D2F3B54"/>
    <w:rsid w:val="3E3F3CA1"/>
    <w:rsid w:val="42003407"/>
    <w:rsid w:val="42BF16B4"/>
    <w:rsid w:val="42DC1762"/>
    <w:rsid w:val="46214F6E"/>
    <w:rsid w:val="47C13D94"/>
    <w:rsid w:val="4A333363"/>
    <w:rsid w:val="4A9169F2"/>
    <w:rsid w:val="4BB305CF"/>
    <w:rsid w:val="54AE2B3E"/>
    <w:rsid w:val="6E1B6016"/>
    <w:rsid w:val="70726C3A"/>
    <w:rsid w:val="74D76CDE"/>
    <w:rsid w:val="75393DD6"/>
    <w:rsid w:val="755F22A2"/>
    <w:rsid w:val="76AF2930"/>
    <w:rsid w:val="772E3E27"/>
    <w:rsid w:val="7AED25A5"/>
    <w:rsid w:val="7B2870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eastAsia="仿宋_GB2312" w:cs="Verdana"/>
      <w:kern w:val="0"/>
      <w:sz w:val="24"/>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cs="Verdana"/>
      <w:kern w:val="0"/>
      <w:sz w:val="24"/>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2020-03-28T02:28:00Z</dcterms:created>
  <dc:creator>浪迹萍踪</dc:creator>
  <cp:lastModifiedBy>Levoe</cp:lastModifiedBy>
  <cp:lastPrinted>2020-03-29T09:00:00Z</cp:lastPrinted>
  <dcterms:modified xsi:type="dcterms:W3CDTF">2020-04-07T08:51:28Z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