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南安市人民政府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办公室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加强政府性投融资项目工程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施工承包行为管理规定的通知</w:t>
      </w:r>
      <w:r>
        <w:rPr>
          <w:rFonts w:hint="eastAsia" w:ascii="方正小标宋简体" w:hAnsi="Batang" w:eastAsia="方正小标宋简体"/>
          <w:color w:val="000000"/>
          <w:kern w:val="0"/>
          <w:sz w:val="44"/>
          <w:szCs w:val="44"/>
        </w:rPr>
        <w:t>的政策解读</w:t>
      </w:r>
    </w:p>
    <w:p>
      <w:pPr>
        <w:spacing w:line="520" w:lineRule="exac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eastAsia="方正黑体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一、出台《</w:t>
      </w:r>
      <w:r>
        <w:rPr>
          <w:rFonts w:hint="eastAsia" w:eastAsia="方正黑体简体"/>
          <w:kern w:val="0"/>
          <w:sz w:val="32"/>
          <w:szCs w:val="32"/>
          <w:lang w:eastAsia="zh-CN"/>
        </w:rPr>
        <w:t>管理规定</w:t>
      </w:r>
      <w:r>
        <w:rPr>
          <w:rFonts w:eastAsia="方正黑体简体"/>
          <w:kern w:val="0"/>
          <w:sz w:val="32"/>
          <w:szCs w:val="32"/>
        </w:rPr>
        <w:t>》的背景解读</w:t>
      </w:r>
    </w:p>
    <w:p>
      <w:pPr>
        <w:spacing w:line="56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为规范建筑工程施工发包与承包活动，保证工程质量和施工安全，有效遏制转包、违法分包及挂靠等违法行为，维护建筑市场秩序和建设工程主要参与方的合法权益，我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局根据住房和城乡建设部《建筑工程施工发包与承包违法行为认定查处管理办法》（建市规</w:t>
      </w:r>
      <w:r>
        <w:rPr>
          <w:rFonts w:hint="eastAsia" w:eastAsia="方正仿宋简体"/>
          <w:bCs/>
          <w:color w:val="000000"/>
          <w:kern w:val="0"/>
          <w:sz w:val="32"/>
          <w:szCs w:val="32"/>
          <w:lang w:eastAsia="zh-CN"/>
        </w:rPr>
        <w:t>〔2019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〕</w:t>
      </w:r>
      <w:r>
        <w:rPr>
          <w:rFonts w:hint="eastAsia" w:eastAsia="方正仿宋简体"/>
          <w:bCs/>
          <w:color w:val="000000"/>
          <w:kern w:val="0"/>
          <w:sz w:val="32"/>
          <w:szCs w:val="32"/>
          <w:lang w:eastAsia="zh-CN"/>
        </w:rPr>
        <w:t>1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号）等文件精神，起草了本《管理规定》。</w:t>
      </w:r>
    </w:p>
    <w:p>
      <w:pPr>
        <w:shd w:val="clear" w:color="auto" w:fill="FFFFFF"/>
        <w:spacing w:line="560" w:lineRule="atLeast"/>
        <w:ind w:firstLine="660"/>
        <w:rPr>
          <w:color w:val="333333"/>
          <w:kern w:val="0"/>
          <w:sz w:val="19"/>
          <w:szCs w:val="19"/>
        </w:rPr>
      </w:pPr>
      <w:r>
        <w:rPr>
          <w:rFonts w:eastAsia="方正黑体简体"/>
          <w:kern w:val="0"/>
          <w:sz w:val="32"/>
          <w:szCs w:val="32"/>
        </w:rPr>
        <w:t>二、《</w:t>
      </w:r>
      <w:r>
        <w:rPr>
          <w:rFonts w:hint="eastAsia" w:eastAsia="方正黑体简体"/>
          <w:kern w:val="0"/>
          <w:sz w:val="32"/>
          <w:szCs w:val="32"/>
          <w:lang w:eastAsia="zh-CN"/>
        </w:rPr>
        <w:t>管理规定</w:t>
      </w:r>
      <w:r>
        <w:rPr>
          <w:rFonts w:eastAsia="方正黑体简体"/>
          <w:kern w:val="0"/>
          <w:sz w:val="32"/>
          <w:szCs w:val="32"/>
        </w:rPr>
        <w:t>》制定的主要依据</w:t>
      </w:r>
    </w:p>
    <w:p>
      <w:pPr>
        <w:widowControl/>
        <w:shd w:val="clear" w:color="auto" w:fill="FFFFFF"/>
        <w:spacing w:line="560" w:lineRule="atLeast"/>
        <w:jc w:val="left"/>
        <w:rPr>
          <w:color w:val="333333"/>
          <w:kern w:val="0"/>
          <w:sz w:val="19"/>
          <w:szCs w:val="19"/>
        </w:rPr>
      </w:pPr>
      <w:r>
        <w:rPr>
          <w:color w:val="333333"/>
          <w:kern w:val="0"/>
          <w:sz w:val="32"/>
          <w:szCs w:val="32"/>
        </w:rPr>
        <w:t> </w:t>
      </w:r>
      <w:r>
        <w:rPr>
          <w:rFonts w:hint="eastAsia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住房和城乡建设部《建筑工程施工发包与承包违法行为认定查处管理办法》（建市规〔</w:t>
      </w:r>
      <w:r>
        <w:rPr>
          <w:rFonts w:hint="eastAsia" w:eastAsia="方正仿宋简体"/>
          <w:bCs/>
          <w:color w:val="000000"/>
          <w:kern w:val="0"/>
          <w:sz w:val="32"/>
          <w:szCs w:val="32"/>
          <w:lang w:eastAsia="zh-CN"/>
        </w:rPr>
        <w:t>2019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〕1号）</w:t>
      </w:r>
      <w:r>
        <w:rPr>
          <w:rFonts w:eastAsia="方正仿宋简体"/>
          <w:bCs/>
          <w:color w:val="000000"/>
          <w:kern w:val="0"/>
          <w:sz w:val="32"/>
          <w:szCs w:val="32"/>
        </w:rPr>
        <w:t>和</w:t>
      </w:r>
      <w:r>
        <w:rPr>
          <w:rFonts w:hint="eastAsia" w:eastAsia="方正仿宋简体"/>
          <w:bCs/>
          <w:color w:val="000000"/>
          <w:kern w:val="0"/>
          <w:sz w:val="32"/>
          <w:szCs w:val="32"/>
        </w:rPr>
        <w:t>《福建省住房和城乡建设系统行政处罚裁量权基准》（</w:t>
      </w:r>
      <w:r>
        <w:rPr>
          <w:rFonts w:eastAsia="方正仿宋简体"/>
          <w:bCs/>
          <w:color w:val="000000"/>
          <w:kern w:val="0"/>
          <w:sz w:val="32"/>
          <w:szCs w:val="32"/>
        </w:rPr>
        <w:t>2021</w:t>
      </w:r>
      <w:r>
        <w:rPr>
          <w:rFonts w:hint="eastAsia" w:eastAsia="方正仿宋简体"/>
          <w:bCs/>
          <w:color w:val="000000"/>
          <w:kern w:val="0"/>
          <w:sz w:val="32"/>
          <w:szCs w:val="32"/>
        </w:rPr>
        <w:t>年版）</w:t>
      </w:r>
      <w:r>
        <w:rPr>
          <w:rFonts w:eastAsia="方正仿宋简体"/>
          <w:bCs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eastAsia="方正黑体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三、《</w:t>
      </w:r>
      <w:r>
        <w:rPr>
          <w:rFonts w:hint="eastAsia" w:eastAsia="方正黑体简体"/>
          <w:kern w:val="0"/>
          <w:sz w:val="32"/>
          <w:szCs w:val="32"/>
          <w:lang w:eastAsia="zh-CN"/>
        </w:rPr>
        <w:t>管理规定</w:t>
      </w:r>
      <w:r>
        <w:rPr>
          <w:rFonts w:eastAsia="方正黑体简体"/>
          <w:kern w:val="0"/>
          <w:sz w:val="32"/>
          <w:szCs w:val="32"/>
        </w:rPr>
        <w:t>》主要内容</w:t>
      </w:r>
    </w:p>
    <w:p>
      <w:pPr>
        <w:spacing w:line="560" w:lineRule="exact"/>
        <w:ind w:firstLine="640" w:firstLineChars="200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主要内容有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五部分</w:t>
      </w:r>
      <w:r>
        <w:rPr>
          <w:rFonts w:eastAsia="方正仿宋简体"/>
          <w:kern w:val="0"/>
          <w:sz w:val="32"/>
          <w:szCs w:val="32"/>
        </w:rPr>
        <w:t>：一是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适用对象</w:t>
      </w:r>
      <w:r>
        <w:rPr>
          <w:rFonts w:hint="eastAsia" w:eastAsia="方正仿宋简体"/>
          <w:kern w:val="0"/>
          <w:sz w:val="32"/>
          <w:szCs w:val="32"/>
        </w:rPr>
        <w:t>、</w:t>
      </w:r>
      <w:r>
        <w:rPr>
          <w:rFonts w:eastAsia="方正仿宋简体"/>
          <w:kern w:val="0"/>
          <w:sz w:val="32"/>
          <w:szCs w:val="32"/>
        </w:rPr>
        <w:t>二是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适用情形</w:t>
      </w:r>
      <w:r>
        <w:rPr>
          <w:rFonts w:hint="eastAsia" w:eastAsia="方正仿宋简体"/>
          <w:kern w:val="0"/>
          <w:sz w:val="32"/>
          <w:szCs w:val="32"/>
        </w:rPr>
        <w:t>、</w:t>
      </w:r>
      <w:r>
        <w:rPr>
          <w:rFonts w:eastAsia="方正仿宋简体"/>
          <w:kern w:val="0"/>
          <w:sz w:val="32"/>
          <w:szCs w:val="32"/>
        </w:rPr>
        <w:t>三是</w:t>
      </w:r>
      <w:r>
        <w:rPr>
          <w:rFonts w:hint="eastAsia" w:eastAsia="方正仿宋简体"/>
          <w:kern w:val="0"/>
          <w:sz w:val="32"/>
          <w:szCs w:val="32"/>
          <w:lang w:eastAsia="zh-CN"/>
        </w:rPr>
        <w:t>职责分工、四是强化组织落实、五是其他事项</w:t>
      </w:r>
      <w:r>
        <w:rPr>
          <w:rFonts w:eastAsia="方正仿宋简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 w:cs="仿宋"/>
          <w:bCs/>
          <w:sz w:val="32"/>
          <w:szCs w:val="32"/>
          <w:lang w:eastAsia="zh-CN"/>
        </w:rPr>
        <w:t>适用对象</w:t>
      </w:r>
    </w:p>
    <w:p>
      <w:pPr>
        <w:spacing w:line="56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明确本通知的适用对象及涉及到的各参与方</w:t>
      </w:r>
      <w:r>
        <w:rPr>
          <w:rFonts w:hint="eastAsia" w:ascii="方正仿宋简体" w:hAnsi="仿宋" w:eastAsia="方正仿宋简体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适用情形</w:t>
      </w:r>
    </w:p>
    <w:p>
      <w:pPr>
        <w:spacing w:line="560" w:lineRule="exact"/>
        <w:ind w:firstLine="640" w:firstLineChars="200"/>
        <w:rPr>
          <w:rFonts w:hint="default" w:ascii="方正仿宋简体" w:hAnsi="仿宋" w:eastAsia="方正仿宋简体" w:cs="仿宋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  <w:t>明确转包、违法分包、挂靠的违法情形。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职责分工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此部分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明确对财政性投融资项目工程施工承包行为涉及到的建设单位、行政主管部门、行业主管部门等的管理职责</w:t>
      </w:r>
      <w:r>
        <w:rPr>
          <w:rFonts w:hint="eastAsia" w:ascii="方正仿宋简体" w:hAnsi="仿宋" w:eastAsia="方正仿宋简体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  <w:lang w:eastAsia="zh-CN"/>
        </w:rPr>
        <w:t>强化组织落实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相关行政主管部门、行业主管部门应高度重视，</w:t>
      </w:r>
      <w:r>
        <w:rPr>
          <w:rFonts w:hint="eastAsia" w:ascii="方正仿宋简体" w:hAnsi="仿宋" w:eastAsia="方正仿宋简体" w:cs="仿宋"/>
          <w:sz w:val="32"/>
          <w:szCs w:val="32"/>
        </w:rPr>
        <w:t>建立建设单位、建设单位行政主管部门与相关行业主管部门联动机制，加强互动频率。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同时，</w:t>
      </w:r>
      <w:r>
        <w:rPr>
          <w:rFonts w:hint="eastAsia" w:ascii="方正仿宋简体" w:hAnsi="仿宋" w:eastAsia="方正仿宋简体" w:cs="仿宋"/>
          <w:sz w:val="32"/>
          <w:szCs w:val="32"/>
        </w:rPr>
        <w:t>鼓励任何单位和个人发现转包、违法分包及挂靠等违法行为时，向相关行业主管部门进行举报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，</w:t>
      </w:r>
      <w:r>
        <w:rPr>
          <w:rFonts w:hint="eastAsia" w:ascii="方正仿宋简体" w:hAnsi="仿宋" w:eastAsia="方正仿宋简体" w:cs="仿宋"/>
          <w:sz w:val="32"/>
          <w:szCs w:val="32"/>
        </w:rPr>
        <w:t>共同对挂靠和违法分包等行为进行管控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（五）其他事项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方正仿宋简体" w:hAnsi="仿宋" w:eastAsia="方正仿宋简体" w:cs="仿宋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  <w:t xml:space="preserve">     实施时间及解释单位说明。</w:t>
      </w:r>
    </w:p>
    <w:p>
      <w:pPr>
        <w:spacing w:line="560" w:lineRule="exact"/>
        <w:rPr>
          <w:rFonts w:eastAsia="方正仿宋简体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方正仿宋简体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方正仿宋简体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方正仿宋简体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方正仿宋简体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方正仿宋简体"/>
          <w:sz w:val="32"/>
          <w:szCs w:val="32"/>
          <w:shd w:val="clear" w:color="auto" w:fill="FFFFFF"/>
        </w:rPr>
      </w:pPr>
    </w:p>
    <w:p>
      <w:pPr>
        <w:wordWrap w:val="0"/>
        <w:spacing w:line="560" w:lineRule="exact"/>
        <w:ind w:firstLine="592" w:firstLineChars="185"/>
        <w:jc w:val="right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>南安市</w:t>
      </w:r>
      <w:r>
        <w:rPr>
          <w:rFonts w:hint="eastAsia" w:eastAsia="方正仿宋简体"/>
          <w:sz w:val="32"/>
          <w:szCs w:val="32"/>
          <w:shd w:val="clear" w:color="auto" w:fill="FFFFFF"/>
          <w:lang w:eastAsia="zh-CN"/>
        </w:rPr>
        <w:t>人民政府办公室</w:t>
      </w:r>
      <w:r>
        <w:rPr>
          <w:rFonts w:eastAsia="方正仿宋简体"/>
          <w:sz w:val="32"/>
          <w:szCs w:val="32"/>
          <w:shd w:val="clear" w:color="auto" w:fill="FFFFFF"/>
        </w:rPr>
        <w:t>　　　</w:t>
      </w:r>
    </w:p>
    <w:p>
      <w:pPr>
        <w:wordWrap w:val="0"/>
        <w:spacing w:line="560" w:lineRule="exact"/>
        <w:ind w:right="800" w:firstLine="592" w:firstLineChars="185"/>
        <w:jc w:val="center"/>
        <w:rPr>
          <w:rFonts w:eastAsia="方正仿宋简体"/>
          <w:sz w:val="32"/>
          <w:szCs w:val="32"/>
          <w:shd w:val="clear" w:color="auto" w:fill="FFFFFF"/>
        </w:rPr>
      </w:pPr>
      <w:r>
        <w:rPr>
          <w:rFonts w:eastAsia="方正仿宋简体"/>
          <w:sz w:val="32"/>
          <w:szCs w:val="32"/>
          <w:shd w:val="clear" w:color="auto" w:fill="FFFFFF"/>
        </w:rPr>
        <w:t xml:space="preserve">                          2021年</w:t>
      </w:r>
      <w:r>
        <w:rPr>
          <w:rFonts w:hint="eastAsia" w:eastAsia="方正仿宋简体"/>
          <w:sz w:val="32"/>
          <w:szCs w:val="32"/>
          <w:shd w:val="clear" w:color="auto" w:fill="FFFFFF"/>
        </w:rPr>
        <w:t>1</w:t>
      </w:r>
      <w:r>
        <w:rPr>
          <w:rFonts w:hint="eastAsia" w:eastAsia="方正仿宋简体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eastAsia="方正仿宋简体"/>
          <w:sz w:val="32"/>
          <w:szCs w:val="32"/>
          <w:shd w:val="clear" w:color="auto" w:fill="FFFFFF"/>
        </w:rPr>
        <w:t>月</w:t>
      </w:r>
      <w:r>
        <w:rPr>
          <w:rFonts w:hint="eastAsia" w:eastAsia="方正仿宋简体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eastAsia="方正仿宋简体"/>
          <w:sz w:val="32"/>
          <w:szCs w:val="32"/>
          <w:shd w:val="clear" w:color="auto" w:fill="FFFFFF"/>
        </w:rPr>
        <w:t>日　</w:t>
      </w:r>
    </w:p>
    <w:p>
      <w:pPr>
        <w:wordWrap w:val="0"/>
        <w:spacing w:line="560" w:lineRule="exact"/>
        <w:ind w:right="800" w:firstLine="592" w:firstLineChars="185"/>
        <w:jc w:val="center"/>
        <w:rPr>
          <w:rFonts w:eastAsia="方正仿宋简体"/>
          <w:sz w:val="32"/>
          <w:szCs w:val="32"/>
          <w:shd w:val="clear" w:color="auto" w:fill="FFFFFF"/>
        </w:rPr>
      </w:pPr>
    </w:p>
    <w:p>
      <w:pPr>
        <w:wordWrap w:val="0"/>
        <w:spacing w:line="560" w:lineRule="exact"/>
        <w:ind w:right="800" w:firstLine="592" w:firstLineChars="185"/>
        <w:jc w:val="left"/>
        <w:rPr>
          <w:rFonts w:hint="eastAsia" w:eastAsia="方正仿宋简体"/>
          <w:sz w:val="32"/>
          <w:szCs w:val="32"/>
          <w:shd w:val="clear" w:color="auto" w:fill="FFFFFF"/>
          <w:lang w:eastAsia="zh-CN"/>
        </w:rPr>
      </w:pPr>
      <w:r>
        <w:rPr>
          <w:rFonts w:hint="eastAsia" w:eastAsia="方正仿宋简体"/>
          <w:sz w:val="32"/>
          <w:szCs w:val="32"/>
          <w:shd w:val="clear" w:color="auto" w:fill="FFFFFF"/>
          <w:lang w:eastAsia="zh-CN"/>
        </w:rPr>
        <w:t>（此件主动公开）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845015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66876"/>
    <w:multiLevelType w:val="singleLevel"/>
    <w:tmpl w:val="06F6687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173"/>
    <w:rsid w:val="00030365"/>
    <w:rsid w:val="000305E9"/>
    <w:rsid w:val="00042108"/>
    <w:rsid w:val="00053AF2"/>
    <w:rsid w:val="0007057F"/>
    <w:rsid w:val="0007395A"/>
    <w:rsid w:val="00082883"/>
    <w:rsid w:val="00086014"/>
    <w:rsid w:val="00086A4D"/>
    <w:rsid w:val="000923F0"/>
    <w:rsid w:val="000960B4"/>
    <w:rsid w:val="00097E17"/>
    <w:rsid w:val="000B7F5D"/>
    <w:rsid w:val="000D038C"/>
    <w:rsid w:val="000E21F6"/>
    <w:rsid w:val="000E5AB3"/>
    <w:rsid w:val="001106F0"/>
    <w:rsid w:val="00111F2C"/>
    <w:rsid w:val="00147DAD"/>
    <w:rsid w:val="0015133F"/>
    <w:rsid w:val="00160173"/>
    <w:rsid w:val="00177078"/>
    <w:rsid w:val="001936DA"/>
    <w:rsid w:val="00196710"/>
    <w:rsid w:val="001D44A8"/>
    <w:rsid w:val="001E196F"/>
    <w:rsid w:val="001E28D7"/>
    <w:rsid w:val="001E4752"/>
    <w:rsid w:val="00214529"/>
    <w:rsid w:val="0022166F"/>
    <w:rsid w:val="00223D0A"/>
    <w:rsid w:val="00240AAF"/>
    <w:rsid w:val="00240EEC"/>
    <w:rsid w:val="00253A94"/>
    <w:rsid w:val="00253E08"/>
    <w:rsid w:val="002575D4"/>
    <w:rsid w:val="00264C83"/>
    <w:rsid w:val="00281167"/>
    <w:rsid w:val="002B1B43"/>
    <w:rsid w:val="002B448D"/>
    <w:rsid w:val="0030300B"/>
    <w:rsid w:val="003118ED"/>
    <w:rsid w:val="0032288D"/>
    <w:rsid w:val="003247EE"/>
    <w:rsid w:val="00325255"/>
    <w:rsid w:val="00346C66"/>
    <w:rsid w:val="00352224"/>
    <w:rsid w:val="003670C0"/>
    <w:rsid w:val="00393CDC"/>
    <w:rsid w:val="003B42D4"/>
    <w:rsid w:val="003B6585"/>
    <w:rsid w:val="003C0675"/>
    <w:rsid w:val="003D04FD"/>
    <w:rsid w:val="003E2809"/>
    <w:rsid w:val="003F747C"/>
    <w:rsid w:val="0041075F"/>
    <w:rsid w:val="00423432"/>
    <w:rsid w:val="00430578"/>
    <w:rsid w:val="004462E7"/>
    <w:rsid w:val="00450262"/>
    <w:rsid w:val="004539BE"/>
    <w:rsid w:val="00461CF1"/>
    <w:rsid w:val="004638B8"/>
    <w:rsid w:val="004675AE"/>
    <w:rsid w:val="00470874"/>
    <w:rsid w:val="00486BD1"/>
    <w:rsid w:val="004B2A82"/>
    <w:rsid w:val="004E01D7"/>
    <w:rsid w:val="004E0259"/>
    <w:rsid w:val="00547AA4"/>
    <w:rsid w:val="00556FB7"/>
    <w:rsid w:val="005809AE"/>
    <w:rsid w:val="005A1611"/>
    <w:rsid w:val="005C57E4"/>
    <w:rsid w:val="005D0176"/>
    <w:rsid w:val="005D20AA"/>
    <w:rsid w:val="005D5708"/>
    <w:rsid w:val="005D7C51"/>
    <w:rsid w:val="005E58D7"/>
    <w:rsid w:val="005F5A3A"/>
    <w:rsid w:val="00605506"/>
    <w:rsid w:val="00611DF2"/>
    <w:rsid w:val="00615CA7"/>
    <w:rsid w:val="00623489"/>
    <w:rsid w:val="006255D4"/>
    <w:rsid w:val="00643963"/>
    <w:rsid w:val="00643ECC"/>
    <w:rsid w:val="00661C45"/>
    <w:rsid w:val="00662C0D"/>
    <w:rsid w:val="006639F4"/>
    <w:rsid w:val="00681B97"/>
    <w:rsid w:val="00683D74"/>
    <w:rsid w:val="00690A8D"/>
    <w:rsid w:val="006A67F8"/>
    <w:rsid w:val="006B649D"/>
    <w:rsid w:val="006C297C"/>
    <w:rsid w:val="006C6757"/>
    <w:rsid w:val="006D119E"/>
    <w:rsid w:val="006D3E15"/>
    <w:rsid w:val="006E1B05"/>
    <w:rsid w:val="006F171B"/>
    <w:rsid w:val="006F1846"/>
    <w:rsid w:val="00705358"/>
    <w:rsid w:val="00706195"/>
    <w:rsid w:val="00723257"/>
    <w:rsid w:val="00727C92"/>
    <w:rsid w:val="0076443F"/>
    <w:rsid w:val="00770DEC"/>
    <w:rsid w:val="00771E1B"/>
    <w:rsid w:val="007838CA"/>
    <w:rsid w:val="007C0EF3"/>
    <w:rsid w:val="007C6C96"/>
    <w:rsid w:val="007D2F44"/>
    <w:rsid w:val="007D7AB0"/>
    <w:rsid w:val="00800E64"/>
    <w:rsid w:val="00805748"/>
    <w:rsid w:val="00825F5D"/>
    <w:rsid w:val="008772AC"/>
    <w:rsid w:val="0089606B"/>
    <w:rsid w:val="008C1681"/>
    <w:rsid w:val="008D799D"/>
    <w:rsid w:val="008E3776"/>
    <w:rsid w:val="008E3907"/>
    <w:rsid w:val="008F2AEE"/>
    <w:rsid w:val="00901C09"/>
    <w:rsid w:val="00901CCD"/>
    <w:rsid w:val="0090261D"/>
    <w:rsid w:val="00924D70"/>
    <w:rsid w:val="00935B1E"/>
    <w:rsid w:val="009444DB"/>
    <w:rsid w:val="009455E9"/>
    <w:rsid w:val="009521D4"/>
    <w:rsid w:val="00952801"/>
    <w:rsid w:val="00961094"/>
    <w:rsid w:val="00981DBE"/>
    <w:rsid w:val="009861F0"/>
    <w:rsid w:val="009A6BE1"/>
    <w:rsid w:val="009C6D91"/>
    <w:rsid w:val="009D3D22"/>
    <w:rsid w:val="00A0014A"/>
    <w:rsid w:val="00A02BD3"/>
    <w:rsid w:val="00A20853"/>
    <w:rsid w:val="00A36C7C"/>
    <w:rsid w:val="00A5372D"/>
    <w:rsid w:val="00A61693"/>
    <w:rsid w:val="00A64D33"/>
    <w:rsid w:val="00A91A4C"/>
    <w:rsid w:val="00AA0863"/>
    <w:rsid w:val="00AA4124"/>
    <w:rsid w:val="00AD69F8"/>
    <w:rsid w:val="00AF314F"/>
    <w:rsid w:val="00B121E4"/>
    <w:rsid w:val="00B13DBD"/>
    <w:rsid w:val="00B23D67"/>
    <w:rsid w:val="00B3461B"/>
    <w:rsid w:val="00B41471"/>
    <w:rsid w:val="00B47D9D"/>
    <w:rsid w:val="00B51500"/>
    <w:rsid w:val="00B52B31"/>
    <w:rsid w:val="00B738A8"/>
    <w:rsid w:val="00B84DB7"/>
    <w:rsid w:val="00BA2FA3"/>
    <w:rsid w:val="00BB53D4"/>
    <w:rsid w:val="00BC631F"/>
    <w:rsid w:val="00BE5207"/>
    <w:rsid w:val="00BF0CBD"/>
    <w:rsid w:val="00C22E20"/>
    <w:rsid w:val="00C4206D"/>
    <w:rsid w:val="00C54D58"/>
    <w:rsid w:val="00C72F0A"/>
    <w:rsid w:val="00C80CAF"/>
    <w:rsid w:val="00C86A3C"/>
    <w:rsid w:val="00CA5F1F"/>
    <w:rsid w:val="00CC1C9E"/>
    <w:rsid w:val="00CC5297"/>
    <w:rsid w:val="00CE3EEA"/>
    <w:rsid w:val="00CE554F"/>
    <w:rsid w:val="00CF0A39"/>
    <w:rsid w:val="00CF193B"/>
    <w:rsid w:val="00CF4A89"/>
    <w:rsid w:val="00D12705"/>
    <w:rsid w:val="00D20F1D"/>
    <w:rsid w:val="00D2117C"/>
    <w:rsid w:val="00D47F11"/>
    <w:rsid w:val="00D60BC4"/>
    <w:rsid w:val="00D92B1D"/>
    <w:rsid w:val="00DB41D9"/>
    <w:rsid w:val="00DB4DF7"/>
    <w:rsid w:val="00DB5813"/>
    <w:rsid w:val="00DC2C10"/>
    <w:rsid w:val="00DC6693"/>
    <w:rsid w:val="00DD0F9C"/>
    <w:rsid w:val="00DE1A6F"/>
    <w:rsid w:val="00DE312E"/>
    <w:rsid w:val="00DF6FD3"/>
    <w:rsid w:val="00E01627"/>
    <w:rsid w:val="00E4394A"/>
    <w:rsid w:val="00E46486"/>
    <w:rsid w:val="00E53861"/>
    <w:rsid w:val="00E54E4E"/>
    <w:rsid w:val="00E65F93"/>
    <w:rsid w:val="00EA015E"/>
    <w:rsid w:val="00EA2D6C"/>
    <w:rsid w:val="00EB53AA"/>
    <w:rsid w:val="00EB5479"/>
    <w:rsid w:val="00EC1AD9"/>
    <w:rsid w:val="00EC6478"/>
    <w:rsid w:val="00ED32E5"/>
    <w:rsid w:val="00EE5192"/>
    <w:rsid w:val="00EF666B"/>
    <w:rsid w:val="00F14689"/>
    <w:rsid w:val="00F17C81"/>
    <w:rsid w:val="00F25E42"/>
    <w:rsid w:val="00F26AE5"/>
    <w:rsid w:val="00F3536E"/>
    <w:rsid w:val="00F3669C"/>
    <w:rsid w:val="00F57456"/>
    <w:rsid w:val="00F62063"/>
    <w:rsid w:val="00F63DC9"/>
    <w:rsid w:val="00F65644"/>
    <w:rsid w:val="00F8008F"/>
    <w:rsid w:val="00F8245E"/>
    <w:rsid w:val="00F8370F"/>
    <w:rsid w:val="00FA6292"/>
    <w:rsid w:val="00FA7BD2"/>
    <w:rsid w:val="00FB23E9"/>
    <w:rsid w:val="00FC1C97"/>
    <w:rsid w:val="00FE501E"/>
    <w:rsid w:val="00FF2C64"/>
    <w:rsid w:val="00FF3938"/>
    <w:rsid w:val="026B72D7"/>
    <w:rsid w:val="068E0EA3"/>
    <w:rsid w:val="06AF13C8"/>
    <w:rsid w:val="0813297A"/>
    <w:rsid w:val="091F2A6D"/>
    <w:rsid w:val="0B310397"/>
    <w:rsid w:val="0DDA6956"/>
    <w:rsid w:val="12797C09"/>
    <w:rsid w:val="17282400"/>
    <w:rsid w:val="18723062"/>
    <w:rsid w:val="202C35EC"/>
    <w:rsid w:val="287E6CE7"/>
    <w:rsid w:val="3BC75312"/>
    <w:rsid w:val="3F580174"/>
    <w:rsid w:val="445B7498"/>
    <w:rsid w:val="49F57169"/>
    <w:rsid w:val="4A865464"/>
    <w:rsid w:val="50157CDF"/>
    <w:rsid w:val="5ADE22ED"/>
    <w:rsid w:val="5C9936E1"/>
    <w:rsid w:val="67AC053F"/>
    <w:rsid w:val="67D360BC"/>
    <w:rsid w:val="6A3F26BB"/>
    <w:rsid w:val="7E5A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3">
    <w:name w:val="heading 5"/>
    <w:basedOn w:val="1"/>
    <w:next w:val="1"/>
    <w:link w:val="1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5">
    <w:name w:val="0"/>
    <w:basedOn w:val="1"/>
    <w:qFormat/>
    <w:uiPriority w:val="0"/>
    <w:pPr>
      <w:widowControl/>
      <w:snapToGrid w:val="0"/>
    </w:pPr>
    <w:rPr>
      <w:rFonts w:ascii="Calibri" w:hAnsi="Calibri" w:cs="黑体"/>
      <w:kern w:val="0"/>
      <w:sz w:val="20"/>
      <w:szCs w:val="20"/>
    </w:rPr>
  </w:style>
  <w:style w:type="character" w:customStyle="1" w:styleId="16">
    <w:name w:val="标题 4 Char"/>
    <w:basedOn w:val="11"/>
    <w:link w:val="2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7">
    <w:name w:val="apple-converted-space"/>
    <w:basedOn w:val="11"/>
    <w:qFormat/>
    <w:uiPriority w:val="0"/>
  </w:style>
  <w:style w:type="character" w:customStyle="1" w:styleId="18">
    <w:name w:val="标题 5 Char"/>
    <w:basedOn w:val="11"/>
    <w:link w:val="3"/>
    <w:semiHidden/>
    <w:qFormat/>
    <w:uiPriority w:val="0"/>
    <w:rPr>
      <w:b/>
      <w:bCs/>
      <w:kern w:val="2"/>
      <w:sz w:val="28"/>
      <w:szCs w:val="28"/>
    </w:rPr>
  </w:style>
  <w:style w:type="character" w:customStyle="1" w:styleId="19">
    <w:name w:val="日期 Char"/>
    <w:basedOn w:val="11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528</Words>
  <Characters>542</Characters>
  <Lines>14</Lines>
  <Paragraphs>4</Paragraphs>
  <TotalTime>4</TotalTime>
  <ScaleCrop>false</ScaleCrop>
  <LinksUpToDate>false</LinksUpToDate>
  <CharactersWithSpaces>580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2021-08-30T00:47:00Z</dcterms:created>
  <dc:creator>User</dc:creator>
  <cp:lastModifiedBy>Cherie</cp:lastModifiedBy>
  <cp:lastPrinted>2021-12-21T01:35:00Z</cp:lastPrinted>
  <dcterms:modified xsi:type="dcterms:W3CDTF">2021-12-29T06:59:13Z</dcterms:modified>
  <dc:title>关于海上丝绸之路申遗泉州史迹环境整治工程--九日山祈风石刻项目建设资金建议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565E6593ED6B45BA95F1277FD67D02CA</vt:lpwstr>
  </property>
</Properties>
</file>