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p>
    <w:p>
      <w:pPr>
        <w:jc w:val="center"/>
        <w:rPr>
          <w:rFonts w:ascii="方正小标宋简体" w:eastAsia="方正小标宋简体"/>
          <w:sz w:val="44"/>
          <w:szCs w:val="44"/>
        </w:rPr>
      </w:pPr>
    </w:p>
    <w:p>
      <w:pPr>
        <w:spacing w:line="500" w:lineRule="exact"/>
        <w:jc w:val="center"/>
        <w:rPr>
          <w:rFonts w:ascii="方正仿宋简体" w:eastAsia="方正仿宋简体"/>
          <w:sz w:val="32"/>
          <w:szCs w:val="32"/>
        </w:rPr>
      </w:pPr>
    </w:p>
    <w:p>
      <w:pPr>
        <w:spacing w:line="600" w:lineRule="exact"/>
        <w:jc w:val="center"/>
        <w:rPr>
          <w:rFonts w:ascii="方正小标宋简体" w:eastAsia="方正小标宋简体"/>
          <w:sz w:val="44"/>
          <w:szCs w:val="44"/>
        </w:rPr>
      </w:pPr>
      <w:r>
        <w:rPr>
          <w:rFonts w:hint="eastAsia" w:ascii="方正小标宋简体" w:hAnsi="Batang" w:eastAsia="方正小标宋简体"/>
          <w:color w:val="000000"/>
          <w:spacing w:val="-10"/>
          <w:kern w:val="0"/>
          <w:sz w:val="44"/>
          <w:szCs w:val="44"/>
        </w:rPr>
        <w:t>《</w:t>
      </w:r>
      <w:r>
        <w:rPr>
          <w:rFonts w:hint="eastAsia" w:ascii="方正小标宋简体" w:eastAsia="方正小标宋简体"/>
          <w:sz w:val="44"/>
          <w:szCs w:val="44"/>
        </w:rPr>
        <w:t>南安市人民政府关于进一步促进建筑业持续发展壮大的实施意见（修订）</w:t>
      </w:r>
      <w:r>
        <w:rPr>
          <w:rFonts w:hint="eastAsia" w:ascii="方正小标宋简体" w:hAnsi="Batang" w:eastAsia="方正小标宋简体"/>
          <w:color w:val="000000"/>
          <w:kern w:val="0"/>
          <w:sz w:val="44"/>
          <w:szCs w:val="44"/>
        </w:rPr>
        <w:t>》的政策解读</w:t>
      </w:r>
    </w:p>
    <w:p>
      <w:pPr>
        <w:spacing w:line="520" w:lineRule="exact"/>
        <w:rPr>
          <w:rFonts w:ascii="仿宋" w:hAnsi="仿宋" w:eastAsia="仿宋" w:cs="仿宋_GB2312"/>
          <w:kern w:val="0"/>
          <w:sz w:val="32"/>
          <w:szCs w:val="32"/>
        </w:rPr>
      </w:pPr>
    </w:p>
    <w:p>
      <w:pPr>
        <w:shd w:val="clear" w:color="auto" w:fill="FFFFFF"/>
        <w:spacing w:line="560" w:lineRule="exact"/>
        <w:ind w:firstLine="640" w:firstLineChars="200"/>
        <w:rPr>
          <w:rFonts w:eastAsia="方正黑体简体"/>
          <w:kern w:val="0"/>
          <w:sz w:val="32"/>
          <w:szCs w:val="32"/>
        </w:rPr>
      </w:pPr>
      <w:r>
        <w:rPr>
          <w:rFonts w:eastAsia="方正黑体简体"/>
          <w:kern w:val="0"/>
          <w:sz w:val="32"/>
          <w:szCs w:val="32"/>
        </w:rPr>
        <w:t>一、出台《实施意见》的背景解读</w:t>
      </w:r>
    </w:p>
    <w:p>
      <w:pPr>
        <w:pStyle w:val="2"/>
        <w:shd w:val="clear" w:color="auto" w:fill="FFFFFF"/>
        <w:spacing w:before="0" w:beforeAutospacing="0" w:after="0" w:afterAutospacing="0" w:line="560" w:lineRule="exact"/>
        <w:ind w:firstLine="640" w:firstLineChars="200"/>
        <w:jc w:val="both"/>
        <w:rPr>
          <w:rFonts w:ascii="Times New Roman" w:hAnsi="Times New Roman" w:eastAsia="方正仿宋简体" w:cs="Times New Roman"/>
          <w:b w:val="0"/>
          <w:bCs w:val="0"/>
          <w:kern w:val="2"/>
          <w:sz w:val="32"/>
          <w:szCs w:val="32"/>
        </w:rPr>
      </w:pPr>
      <w:r>
        <w:rPr>
          <w:rFonts w:ascii="Times New Roman" w:hAnsi="Times New Roman" w:eastAsia="方正仿宋简体" w:cs="Times New Roman"/>
          <w:b w:val="0"/>
          <w:color w:val="000000"/>
          <w:sz w:val="32"/>
          <w:szCs w:val="32"/>
        </w:rPr>
        <w:t>建筑业对本市财政增收和群众致富具有不可忽视的作用，在经济和社会发展中举足轻重。随着市场经济形势的瞬息万变，近年来，民营建筑企业的发展，遭遇了严重的瓶颈制约，如融资难、承揽基础设施项目难、“走出去”发展难、经济纠纷维权难、转型提升难等诸多问题，需要政府做好引导、鼓励和扶持等服务工作，真正推动我市建筑业高质量发展，做大做强。</w:t>
      </w:r>
    </w:p>
    <w:p>
      <w:pPr>
        <w:shd w:val="clear" w:color="auto" w:fill="FFFFFF"/>
        <w:spacing w:line="560" w:lineRule="atLeast"/>
        <w:ind w:firstLine="660"/>
        <w:rPr>
          <w:color w:val="333333"/>
          <w:kern w:val="0"/>
          <w:sz w:val="19"/>
          <w:szCs w:val="19"/>
        </w:rPr>
      </w:pPr>
      <w:r>
        <w:rPr>
          <w:rFonts w:eastAsia="方正黑体简体"/>
          <w:kern w:val="0"/>
          <w:sz w:val="32"/>
          <w:szCs w:val="32"/>
        </w:rPr>
        <w:t>二、《实施意见》制定的主要依据</w:t>
      </w:r>
    </w:p>
    <w:p>
      <w:pPr>
        <w:widowControl/>
        <w:shd w:val="clear" w:color="auto" w:fill="FFFFFF"/>
        <w:spacing w:line="560" w:lineRule="atLeast"/>
        <w:jc w:val="left"/>
        <w:rPr>
          <w:color w:val="333333"/>
          <w:kern w:val="0"/>
          <w:sz w:val="19"/>
          <w:szCs w:val="19"/>
        </w:rPr>
      </w:pPr>
      <w:r>
        <w:rPr>
          <w:color w:val="333333"/>
          <w:kern w:val="0"/>
          <w:sz w:val="32"/>
          <w:szCs w:val="32"/>
        </w:rPr>
        <w:t>  </w:t>
      </w:r>
      <w:r>
        <w:rPr>
          <w:rFonts w:eastAsia="方正仿宋简体"/>
          <w:bCs/>
          <w:color w:val="000000"/>
          <w:kern w:val="0"/>
          <w:sz w:val="32"/>
          <w:szCs w:val="32"/>
        </w:rPr>
        <w:t>《国务院办公厅关于促进建筑业持续健康发展的意见》（国办发〔2017〕19号）和《泉州市人民政府关于进一步促进建筑业发展壮大的若干意见（2019年修订）》（泉政文〔2020〕6号）。</w:t>
      </w:r>
    </w:p>
    <w:p>
      <w:pPr>
        <w:shd w:val="clear" w:color="auto" w:fill="FFFFFF"/>
        <w:spacing w:line="560" w:lineRule="exact"/>
        <w:ind w:firstLine="640" w:firstLineChars="200"/>
        <w:rPr>
          <w:rFonts w:eastAsia="方正黑体简体"/>
          <w:kern w:val="0"/>
          <w:sz w:val="32"/>
          <w:szCs w:val="32"/>
        </w:rPr>
      </w:pPr>
      <w:r>
        <w:rPr>
          <w:rFonts w:eastAsia="方正黑体简体"/>
          <w:kern w:val="0"/>
          <w:sz w:val="32"/>
          <w:szCs w:val="32"/>
        </w:rPr>
        <w:t>三、《实施意见》主要内容</w:t>
      </w:r>
    </w:p>
    <w:p>
      <w:pPr>
        <w:spacing w:line="560" w:lineRule="exact"/>
        <w:ind w:firstLine="640" w:firstLineChars="200"/>
        <w:rPr>
          <w:rFonts w:eastAsia="方正仿宋简体"/>
          <w:kern w:val="0"/>
          <w:sz w:val="32"/>
          <w:szCs w:val="32"/>
        </w:rPr>
      </w:pPr>
      <w:r>
        <w:rPr>
          <w:rFonts w:eastAsia="方正仿宋简体"/>
          <w:kern w:val="0"/>
          <w:sz w:val="32"/>
          <w:szCs w:val="32"/>
        </w:rPr>
        <w:t>主要内容有十二部分：一是鼓励企业做大做强</w:t>
      </w:r>
      <w:r>
        <w:rPr>
          <w:rFonts w:hint="eastAsia" w:eastAsia="方正仿宋简体"/>
          <w:kern w:val="0"/>
          <w:sz w:val="32"/>
          <w:szCs w:val="32"/>
        </w:rPr>
        <w:t>、</w:t>
      </w:r>
      <w:r>
        <w:rPr>
          <w:rFonts w:eastAsia="方正仿宋简体"/>
          <w:kern w:val="0"/>
          <w:sz w:val="32"/>
          <w:szCs w:val="32"/>
        </w:rPr>
        <w:t>二是鼓励建筑企业迁入本市</w:t>
      </w:r>
      <w:r>
        <w:rPr>
          <w:rFonts w:hint="eastAsia" w:eastAsia="方正仿宋简体"/>
          <w:kern w:val="0"/>
          <w:sz w:val="32"/>
          <w:szCs w:val="32"/>
        </w:rPr>
        <w:t>、</w:t>
      </w:r>
      <w:r>
        <w:rPr>
          <w:rFonts w:eastAsia="方正仿宋简体"/>
          <w:kern w:val="0"/>
          <w:sz w:val="32"/>
          <w:szCs w:val="32"/>
        </w:rPr>
        <w:t>三是鼓励建筑业企业增产增收、四是鼓励建筑企业争先创优、五是加大金融支持力度、六是切实减轻企业资金压力、七是支持本地企业承接业务、八是鼓励企业编撰技术标准、九是推进诚信体系建设、十是加强人才队伍建设、十一是不予政策激励情形、十二是附则。</w:t>
      </w:r>
    </w:p>
    <w:p>
      <w:pPr>
        <w:spacing w:line="560" w:lineRule="exact"/>
        <w:ind w:firstLine="640" w:firstLineChars="200"/>
        <w:rPr>
          <w:rFonts w:eastAsia="方正仿宋简体"/>
          <w:sz w:val="32"/>
          <w:szCs w:val="32"/>
        </w:rPr>
      </w:pPr>
      <w:r>
        <w:rPr>
          <w:rFonts w:eastAsia="方正仿宋简体"/>
          <w:kern w:val="0"/>
          <w:sz w:val="32"/>
          <w:szCs w:val="32"/>
        </w:rPr>
        <w:t>（一）鼓励企业做大做强。对晋升资质等级的建筑业企业，按照不同专业，不同等级分别予以奖励，多项资质晋升不重复奖励，按就高原则对差额进行增补，对获得奖励的企业五年内工商注册地不予外迁，否则将收回全部奖励金。</w:t>
      </w:r>
    </w:p>
    <w:p>
      <w:pPr>
        <w:spacing w:line="560" w:lineRule="exact"/>
        <w:ind w:firstLine="643" w:firstLineChars="200"/>
        <w:rPr>
          <w:rFonts w:eastAsia="方正仿宋简体"/>
          <w:sz w:val="32"/>
          <w:szCs w:val="32"/>
        </w:rPr>
      </w:pPr>
      <w:r>
        <w:rPr>
          <w:rFonts w:eastAsia="方正楷体简体"/>
          <w:b/>
          <w:bCs/>
          <w:kern w:val="0"/>
          <w:sz w:val="32"/>
          <w:szCs w:val="32"/>
        </w:rPr>
        <w:t>（二）</w:t>
      </w:r>
      <w:r>
        <w:rPr>
          <w:rFonts w:eastAsia="方正仿宋简体"/>
          <w:kern w:val="0"/>
          <w:sz w:val="32"/>
          <w:szCs w:val="32"/>
        </w:rPr>
        <w:t>鼓励建筑企业迁入本市</w:t>
      </w:r>
      <w:r>
        <w:rPr>
          <w:rFonts w:eastAsia="方正楷体简体"/>
          <w:b/>
          <w:bCs/>
          <w:kern w:val="0"/>
          <w:sz w:val="32"/>
          <w:szCs w:val="32"/>
        </w:rPr>
        <w:t>。</w:t>
      </w:r>
      <w:r>
        <w:rPr>
          <w:rFonts w:eastAsia="方正仿宋简体"/>
          <w:sz w:val="32"/>
          <w:szCs w:val="32"/>
        </w:rPr>
        <w:t>对迁入我市建筑业企业，按照不同专业，不同等级分别予以奖励，迁入我市后资质晋升不重复奖励，按就高原则对差额进行增补，</w:t>
      </w:r>
      <w:r>
        <w:rPr>
          <w:rFonts w:eastAsia="方正仿宋简体"/>
          <w:kern w:val="0"/>
          <w:sz w:val="32"/>
          <w:szCs w:val="32"/>
        </w:rPr>
        <w:t>对获得奖励的企业五年内工商注册地不予外迁，否则将收回全部奖励金</w:t>
      </w:r>
      <w:r>
        <w:rPr>
          <w:rFonts w:eastAsia="方正仿宋简体"/>
          <w:sz w:val="32"/>
          <w:szCs w:val="32"/>
        </w:rPr>
        <w:t>。</w:t>
      </w:r>
    </w:p>
    <w:p>
      <w:pPr>
        <w:spacing w:line="560" w:lineRule="exact"/>
        <w:ind w:firstLine="643" w:firstLineChars="200"/>
        <w:rPr>
          <w:rFonts w:eastAsia="方正仿宋简体"/>
          <w:color w:val="000000"/>
          <w:sz w:val="32"/>
          <w:szCs w:val="32"/>
        </w:rPr>
      </w:pPr>
      <w:r>
        <w:rPr>
          <w:rFonts w:eastAsia="方正楷体简体"/>
          <w:b/>
          <w:bCs/>
          <w:kern w:val="0"/>
          <w:sz w:val="32"/>
          <w:szCs w:val="32"/>
        </w:rPr>
        <w:t>（三）</w:t>
      </w:r>
      <w:r>
        <w:rPr>
          <w:rFonts w:eastAsia="方正仿宋简体"/>
          <w:kern w:val="0"/>
          <w:sz w:val="32"/>
          <w:szCs w:val="32"/>
        </w:rPr>
        <w:t>鼓励建筑业企业增产增收</w:t>
      </w:r>
      <w:r>
        <w:rPr>
          <w:rFonts w:eastAsia="方正楷体简体"/>
          <w:b/>
          <w:bCs/>
          <w:kern w:val="0"/>
          <w:sz w:val="32"/>
          <w:szCs w:val="32"/>
        </w:rPr>
        <w:t>。</w:t>
      </w:r>
      <w:r>
        <w:rPr>
          <w:rFonts w:eastAsia="方正仿宋简体"/>
          <w:color w:val="000000"/>
          <w:sz w:val="32"/>
          <w:szCs w:val="32"/>
        </w:rPr>
        <w:t>根据南安市建筑业企业在福建省统计平台年度完成的产值，予以分段奖励。</w:t>
      </w:r>
    </w:p>
    <w:p>
      <w:pPr>
        <w:spacing w:line="560" w:lineRule="exact"/>
        <w:ind w:firstLine="640" w:firstLineChars="200"/>
        <w:rPr>
          <w:rFonts w:eastAsia="方正仿宋简体"/>
          <w:kern w:val="0"/>
          <w:sz w:val="32"/>
          <w:szCs w:val="32"/>
        </w:rPr>
      </w:pPr>
      <w:r>
        <w:rPr>
          <w:rFonts w:eastAsia="方正仿宋简体"/>
          <w:color w:val="000000"/>
          <w:sz w:val="32"/>
          <w:szCs w:val="32"/>
        </w:rPr>
        <w:t>（四）</w:t>
      </w:r>
      <w:r>
        <w:rPr>
          <w:rFonts w:eastAsia="方正仿宋简体"/>
          <w:kern w:val="0"/>
          <w:sz w:val="32"/>
          <w:szCs w:val="32"/>
        </w:rPr>
        <w:t>鼓励建筑企业争先创优。对我市建筑施工企业承建的工程项目荣获国家级（“詹天佑奖”、“鲁班奖”、“李春奖”、“大禹奖”），省级（“闽江杯”）的奖项将分别予以奖励；对我市建筑施工企业承建的本市项目荣获省级安全文明标准化示范工地给予奖励。两个及以上施工单位组成联合体中标的，视为一个承包单位，不重复奖励，项目仅以获得的最高奖项为准，不重复奖励；对获得省级创建优质工程的国有资金投资房屋建筑和市政工程实行“优质优价”的奖励政策。</w:t>
      </w:r>
    </w:p>
    <w:p>
      <w:pPr>
        <w:spacing w:line="560" w:lineRule="exact"/>
        <w:ind w:firstLine="640" w:firstLineChars="200"/>
        <w:rPr>
          <w:rFonts w:eastAsia="楷体"/>
          <w:sz w:val="32"/>
          <w:szCs w:val="32"/>
        </w:rPr>
      </w:pPr>
      <w:r>
        <w:rPr>
          <w:rFonts w:hAnsi="楷体" w:eastAsia="楷体"/>
          <w:sz w:val="32"/>
          <w:szCs w:val="32"/>
        </w:rPr>
        <w:t>（五）加大金融支持力度</w:t>
      </w:r>
    </w:p>
    <w:p>
      <w:pPr>
        <w:spacing w:line="560" w:lineRule="exact"/>
        <w:ind w:firstLine="592" w:firstLineChars="185"/>
        <w:rPr>
          <w:rFonts w:eastAsia="方正仿宋简体"/>
          <w:sz w:val="32"/>
          <w:szCs w:val="32"/>
        </w:rPr>
      </w:pPr>
      <w:r>
        <w:rPr>
          <w:rFonts w:eastAsia="方正仿宋简体"/>
          <w:sz w:val="32"/>
          <w:szCs w:val="32"/>
        </w:rPr>
        <w:t>鼓励本市登记注册的各金融机构对符合条件的建筑业企业在授信额度、质押融资、贷款发放、保函业务等方面给予支持。支持工程担保业务。</w:t>
      </w:r>
    </w:p>
    <w:p>
      <w:pPr>
        <w:spacing w:line="560" w:lineRule="exact"/>
        <w:ind w:firstLine="640" w:firstLineChars="200"/>
        <w:rPr>
          <w:rFonts w:eastAsia="楷体"/>
          <w:sz w:val="32"/>
          <w:szCs w:val="32"/>
        </w:rPr>
      </w:pPr>
      <w:r>
        <w:rPr>
          <w:rFonts w:hAnsi="楷体" w:eastAsia="楷体"/>
          <w:sz w:val="32"/>
          <w:szCs w:val="32"/>
        </w:rPr>
        <w:t>（六）切实减轻企业资金压力</w:t>
      </w:r>
    </w:p>
    <w:p>
      <w:pPr>
        <w:widowControl/>
        <w:shd w:val="clear" w:color="auto" w:fill="FFFFFF"/>
        <w:spacing w:line="560" w:lineRule="exact"/>
        <w:ind w:firstLine="640" w:firstLineChars="200"/>
        <w:rPr>
          <w:rFonts w:eastAsia="方正仿宋简体"/>
          <w:color w:val="FF0000"/>
          <w:sz w:val="32"/>
          <w:szCs w:val="32"/>
        </w:rPr>
      </w:pPr>
      <w:r>
        <w:rPr>
          <w:rFonts w:eastAsia="方正仿宋简体"/>
          <w:sz w:val="32"/>
          <w:szCs w:val="32"/>
        </w:rPr>
        <w:t>农民工工资保证金实行差异化缴存办法。</w:t>
      </w:r>
    </w:p>
    <w:p>
      <w:pPr>
        <w:spacing w:line="560" w:lineRule="exact"/>
        <w:ind w:firstLine="640" w:firstLineChars="200"/>
        <w:rPr>
          <w:rFonts w:eastAsia="楷体"/>
          <w:sz w:val="32"/>
          <w:szCs w:val="32"/>
        </w:rPr>
      </w:pPr>
      <w:r>
        <w:rPr>
          <w:rFonts w:hAnsi="楷体" w:eastAsia="楷体"/>
          <w:sz w:val="32"/>
          <w:szCs w:val="32"/>
        </w:rPr>
        <w:t>（七）支持本地企业承接业务</w:t>
      </w:r>
    </w:p>
    <w:p>
      <w:pPr>
        <w:spacing w:line="560" w:lineRule="exact"/>
        <w:ind w:firstLine="594" w:firstLineChars="185"/>
        <w:rPr>
          <w:rFonts w:eastAsia="方正仿宋简体"/>
          <w:sz w:val="32"/>
          <w:szCs w:val="32"/>
        </w:rPr>
      </w:pPr>
      <w:r>
        <w:rPr>
          <w:rFonts w:eastAsia="方正仿宋简体"/>
          <w:b/>
          <w:sz w:val="32"/>
          <w:szCs w:val="32"/>
        </w:rPr>
        <w:t>一是</w:t>
      </w:r>
      <w:r>
        <w:rPr>
          <w:rFonts w:eastAsia="方正仿宋简体"/>
          <w:sz w:val="32"/>
          <w:szCs w:val="32"/>
        </w:rPr>
        <w:t>推动企业多元化经营改革。鼓励建筑业企业参与项目的投资、建设。鼓励具备相应资质的建设单位可自行或委托设计、施工。</w:t>
      </w:r>
      <w:r>
        <w:rPr>
          <w:rFonts w:hint="eastAsia" w:eastAsia="方正仿宋简体"/>
          <w:b/>
          <w:sz w:val="32"/>
          <w:szCs w:val="32"/>
        </w:rPr>
        <w:t>二</w:t>
      </w:r>
      <w:r>
        <w:rPr>
          <w:rFonts w:eastAsia="方正仿宋简体"/>
          <w:b/>
          <w:sz w:val="32"/>
          <w:szCs w:val="32"/>
        </w:rPr>
        <w:t>是</w:t>
      </w:r>
      <w:r>
        <w:rPr>
          <w:rFonts w:eastAsia="方正仿宋简体"/>
          <w:sz w:val="32"/>
          <w:szCs w:val="32"/>
        </w:rPr>
        <w:t>鼓励战略协同合作。鼓励建设单位与本市的建筑施工企业建立战略合作关系，鼓励非本市大型建筑施工企业与本市企业以联合体形式参与投标。</w:t>
      </w:r>
    </w:p>
    <w:p>
      <w:pPr>
        <w:spacing w:line="560" w:lineRule="exact"/>
        <w:ind w:firstLine="640" w:firstLineChars="200"/>
        <w:rPr>
          <w:rFonts w:eastAsia="楷体"/>
          <w:sz w:val="32"/>
          <w:szCs w:val="32"/>
        </w:rPr>
      </w:pPr>
      <w:r>
        <w:rPr>
          <w:rFonts w:hAnsi="楷体" w:eastAsia="楷体"/>
          <w:sz w:val="32"/>
          <w:szCs w:val="32"/>
        </w:rPr>
        <w:t>（八）鼓励企业编撰技术标准</w:t>
      </w:r>
    </w:p>
    <w:p>
      <w:pPr>
        <w:spacing w:line="560" w:lineRule="exact"/>
        <w:ind w:firstLine="592" w:firstLineChars="185"/>
        <w:rPr>
          <w:rFonts w:eastAsia="方正仿宋简体"/>
          <w:color w:val="000000"/>
          <w:sz w:val="32"/>
          <w:szCs w:val="32"/>
        </w:rPr>
      </w:pPr>
      <w:r>
        <w:rPr>
          <w:rFonts w:eastAsia="方正仿宋简体"/>
          <w:color w:val="000000"/>
          <w:sz w:val="32"/>
          <w:szCs w:val="32"/>
        </w:rPr>
        <w:t>对本市建筑企业主编、参编工程建设国家标准、省级工程建设地方标准、工法予以奖励。</w:t>
      </w:r>
    </w:p>
    <w:p>
      <w:pPr>
        <w:spacing w:line="560" w:lineRule="exact"/>
        <w:ind w:firstLine="640" w:firstLineChars="200"/>
        <w:rPr>
          <w:rFonts w:eastAsia="楷体"/>
          <w:sz w:val="32"/>
          <w:szCs w:val="32"/>
        </w:rPr>
      </w:pPr>
      <w:r>
        <w:rPr>
          <w:rFonts w:hAnsi="楷体" w:eastAsia="楷体"/>
          <w:sz w:val="32"/>
          <w:szCs w:val="32"/>
        </w:rPr>
        <w:t>（九）推进诚信体系建设</w:t>
      </w:r>
    </w:p>
    <w:p>
      <w:pPr>
        <w:spacing w:line="560" w:lineRule="exact"/>
        <w:ind w:firstLine="592" w:firstLineChars="185"/>
        <w:rPr>
          <w:rFonts w:eastAsia="方正仿宋简体"/>
          <w:color w:val="000000"/>
          <w:sz w:val="32"/>
          <w:szCs w:val="32"/>
        </w:rPr>
      </w:pPr>
      <w:r>
        <w:rPr>
          <w:rFonts w:eastAsia="方正仿宋简体"/>
          <w:color w:val="000000"/>
          <w:sz w:val="32"/>
          <w:szCs w:val="32"/>
        </w:rPr>
        <w:t>在全市政府投融资的工程项目推行施工单位合同履约诚信行为评价，评价结果可作为招投标准入信用和加减分依据。</w:t>
      </w:r>
    </w:p>
    <w:p>
      <w:pPr>
        <w:spacing w:line="560" w:lineRule="exact"/>
        <w:ind w:firstLine="592" w:firstLineChars="185"/>
        <w:rPr>
          <w:rFonts w:eastAsia="楷体"/>
          <w:sz w:val="32"/>
          <w:szCs w:val="32"/>
        </w:rPr>
      </w:pPr>
      <w:r>
        <w:rPr>
          <w:rFonts w:hAnsi="楷体" w:eastAsia="楷体"/>
          <w:sz w:val="32"/>
          <w:szCs w:val="32"/>
        </w:rPr>
        <w:t>（十）加强专业人才队伍建设</w:t>
      </w:r>
    </w:p>
    <w:p>
      <w:pPr>
        <w:spacing w:line="560" w:lineRule="exact"/>
        <w:ind w:firstLine="592" w:firstLineChars="185"/>
        <w:rPr>
          <w:rFonts w:eastAsia="方正仿宋简体"/>
          <w:sz w:val="32"/>
          <w:szCs w:val="32"/>
          <w:shd w:val="clear" w:color="auto" w:fill="FFFFFF"/>
        </w:rPr>
      </w:pPr>
      <w:r>
        <w:rPr>
          <w:rFonts w:eastAsia="方正仿宋简体"/>
          <w:sz w:val="32"/>
          <w:szCs w:val="32"/>
          <w:shd w:val="clear" w:color="auto" w:fill="FFFFFF"/>
        </w:rPr>
        <w:t>在人才培训发证与职称评定等方面给予大力扶持，对于企业从外地引进的专业技术人才，经认定，符合《中共南安市委人才工作领导小组关于印发南安市高层次人才认定规定的通知》（南委人才〔2019〕6号）的，可享受相关政策待遇。</w:t>
      </w:r>
    </w:p>
    <w:p>
      <w:pPr>
        <w:spacing w:line="560" w:lineRule="exact"/>
        <w:ind w:firstLine="592" w:firstLineChars="185"/>
        <w:rPr>
          <w:rFonts w:eastAsia="楷体"/>
          <w:sz w:val="32"/>
          <w:szCs w:val="32"/>
        </w:rPr>
      </w:pPr>
      <w:r>
        <w:rPr>
          <w:rFonts w:eastAsia="方正仿宋简体"/>
          <w:sz w:val="32"/>
          <w:szCs w:val="32"/>
          <w:shd w:val="clear" w:color="auto" w:fill="FFFFFF"/>
        </w:rPr>
        <w:t>（十一）</w:t>
      </w:r>
      <w:r>
        <w:rPr>
          <w:rFonts w:hAnsi="楷体" w:eastAsia="楷体"/>
          <w:sz w:val="32"/>
          <w:szCs w:val="32"/>
        </w:rPr>
        <w:t>明确企业不予政策激励的情形</w:t>
      </w:r>
    </w:p>
    <w:p>
      <w:pPr>
        <w:spacing w:line="560" w:lineRule="exact"/>
        <w:ind w:firstLine="592" w:firstLineChars="185"/>
        <w:rPr>
          <w:rFonts w:eastAsia="方正仿宋简体"/>
          <w:sz w:val="32"/>
          <w:szCs w:val="32"/>
          <w:shd w:val="clear" w:color="auto" w:fill="FFFFFF"/>
        </w:rPr>
      </w:pPr>
      <w:r>
        <w:rPr>
          <w:rFonts w:eastAsia="方正仿宋简体"/>
          <w:sz w:val="32"/>
          <w:szCs w:val="32"/>
          <w:shd w:val="clear" w:color="auto" w:fill="FFFFFF"/>
        </w:rPr>
        <w:t>企业具有下列情形之一的，其所有奖项当年或规定期限内不得享受优惠鼓励政策：一是被记录违法违规档案。二是发生严重及以上质量事故，被省或泉州市或我市建设行政主管部门通报。三是在发生较大及以上安全生产事故。四是在南安市区域范围内，施工安全文明标准化实施情况考核被监管部门连续2次评分不达标。五是在南安市区域范围内，因拖欠农民工工资，受到省或泉州市或我市住建、劳动监察行政主管部门通报或查处。六是因重大环境污染、重大信用不良行为等其他行为</w:t>
      </w:r>
      <w:r>
        <w:rPr>
          <w:rFonts w:hint="eastAsia" w:eastAsia="方正仿宋简体"/>
          <w:sz w:val="32"/>
          <w:szCs w:val="32"/>
          <w:shd w:val="clear" w:color="auto" w:fill="FFFFFF"/>
        </w:rPr>
        <w:t>被</w:t>
      </w:r>
      <w:r>
        <w:rPr>
          <w:rFonts w:eastAsia="方正仿宋简体"/>
          <w:sz w:val="32"/>
          <w:szCs w:val="32"/>
          <w:shd w:val="clear" w:color="auto" w:fill="FFFFFF"/>
        </w:rPr>
        <w:t>有关部门行政处罚或登记为不良行为记录。七是被法院纳入失信被执行人名单。</w:t>
      </w:r>
    </w:p>
    <w:p>
      <w:pPr>
        <w:shd w:val="clear" w:color="auto" w:fill="FFFFFF"/>
        <w:spacing w:line="560" w:lineRule="exact"/>
        <w:ind w:firstLine="640" w:firstLineChars="200"/>
        <w:rPr>
          <w:rFonts w:eastAsia="楷体"/>
          <w:sz w:val="32"/>
          <w:szCs w:val="32"/>
        </w:rPr>
      </w:pPr>
      <w:r>
        <w:rPr>
          <w:rFonts w:eastAsia="方正仿宋简体"/>
          <w:sz w:val="32"/>
          <w:szCs w:val="32"/>
          <w:shd w:val="clear" w:color="auto" w:fill="FFFFFF"/>
        </w:rPr>
        <w:t>（十二）</w:t>
      </w:r>
      <w:r>
        <w:rPr>
          <w:rFonts w:hAnsi="楷体" w:eastAsia="楷体"/>
          <w:sz w:val="32"/>
          <w:szCs w:val="32"/>
        </w:rPr>
        <w:t>附则</w:t>
      </w:r>
    </w:p>
    <w:p>
      <w:pPr>
        <w:spacing w:line="560" w:lineRule="exact"/>
        <w:ind w:firstLine="755" w:firstLineChars="235"/>
        <w:rPr>
          <w:rFonts w:eastAsia="方正仿宋简体"/>
          <w:sz w:val="32"/>
          <w:szCs w:val="32"/>
          <w:shd w:val="clear" w:color="auto" w:fill="FFFFFF"/>
        </w:rPr>
      </w:pPr>
      <w:r>
        <w:rPr>
          <w:rFonts w:eastAsia="方正仿宋简体"/>
          <w:b/>
          <w:color w:val="000000"/>
          <w:sz w:val="32"/>
          <w:szCs w:val="32"/>
        </w:rPr>
        <w:t>一是</w:t>
      </w:r>
      <w:r>
        <w:rPr>
          <w:rFonts w:eastAsia="方正仿宋简体"/>
          <w:color w:val="000000"/>
          <w:sz w:val="32"/>
          <w:szCs w:val="32"/>
        </w:rPr>
        <w:t>奖励措施的兑现流程，增加统计部门参与联合审核建筑企业提交的相关佐证材料；</w:t>
      </w:r>
      <w:r>
        <w:rPr>
          <w:rFonts w:eastAsia="方正仿宋简体"/>
          <w:b/>
          <w:color w:val="000000"/>
          <w:sz w:val="32"/>
          <w:szCs w:val="32"/>
        </w:rPr>
        <w:t>二是</w:t>
      </w:r>
      <w:r>
        <w:rPr>
          <w:rFonts w:eastAsia="方正仿宋简体"/>
          <w:color w:val="000000"/>
          <w:sz w:val="32"/>
          <w:szCs w:val="32"/>
        </w:rPr>
        <w:t>根据《住房和城乡建设部关于建设工程企业资质管理制度改革方案的通知》（建市〔2020〕94号）资质证书换证期限为自2020年11月30日起算1年过渡期，本文件资质等级作相应调整，一年过渡期内，资质证书虽未调整更换但符合本意见所列奖励待遇政策，可适用本意见享受相关奖励待遇；</w:t>
      </w:r>
      <w:r>
        <w:rPr>
          <w:rFonts w:eastAsia="方正仿宋简体"/>
          <w:b/>
          <w:color w:val="000000"/>
          <w:sz w:val="32"/>
          <w:szCs w:val="32"/>
        </w:rPr>
        <w:t>三是</w:t>
      </w:r>
      <w:r>
        <w:rPr>
          <w:rFonts w:eastAsia="方正仿宋简体"/>
          <w:color w:val="000000"/>
          <w:sz w:val="32"/>
          <w:szCs w:val="32"/>
        </w:rPr>
        <w:t>本文件在执行中如遇上级有关部门政策重大调整的，所涉及条款视情况调整；</w:t>
      </w:r>
      <w:r>
        <w:rPr>
          <w:rFonts w:eastAsia="方正仿宋简体"/>
          <w:b/>
          <w:color w:val="000000"/>
          <w:sz w:val="32"/>
          <w:szCs w:val="32"/>
        </w:rPr>
        <w:t>四是</w:t>
      </w:r>
      <w:r>
        <w:rPr>
          <w:rFonts w:eastAsia="方正仿宋简体"/>
          <w:color w:val="000000"/>
          <w:sz w:val="32"/>
          <w:szCs w:val="32"/>
        </w:rPr>
        <w:t>明确《实施意见》解释单位，《实施意见》的有限期自发文之日起至2023年10月8日止。</w:t>
      </w:r>
    </w:p>
    <w:p>
      <w:pPr>
        <w:spacing w:line="560" w:lineRule="exact"/>
        <w:rPr>
          <w:rFonts w:eastAsia="方正仿宋简体"/>
          <w:sz w:val="32"/>
          <w:szCs w:val="32"/>
          <w:shd w:val="clear" w:color="auto" w:fill="FFFFFF"/>
        </w:rPr>
      </w:pPr>
    </w:p>
    <w:p>
      <w:pPr>
        <w:wordWrap w:val="0"/>
        <w:spacing w:line="560" w:lineRule="exact"/>
        <w:ind w:firstLine="592" w:firstLineChars="185"/>
        <w:jc w:val="right"/>
        <w:rPr>
          <w:rFonts w:eastAsia="方正仿宋简体"/>
          <w:sz w:val="32"/>
          <w:szCs w:val="32"/>
          <w:shd w:val="clear" w:color="auto" w:fill="FFFFFF"/>
        </w:rPr>
      </w:pPr>
      <w:r>
        <w:rPr>
          <w:rFonts w:eastAsia="方正仿宋简体"/>
          <w:sz w:val="32"/>
          <w:szCs w:val="32"/>
          <w:shd w:val="clear" w:color="auto" w:fill="FFFFFF"/>
        </w:rPr>
        <w:t>南安市</w:t>
      </w:r>
      <w:r>
        <w:rPr>
          <w:rFonts w:hint="eastAsia" w:eastAsia="方正仿宋简体"/>
          <w:sz w:val="32"/>
          <w:szCs w:val="32"/>
          <w:shd w:val="clear" w:color="auto" w:fill="FFFFFF"/>
          <w:lang w:eastAsia="zh-CN"/>
        </w:rPr>
        <w:t>人民政府</w:t>
      </w:r>
      <w:r>
        <w:rPr>
          <w:rFonts w:eastAsia="方正仿宋简体"/>
          <w:sz w:val="32"/>
          <w:szCs w:val="32"/>
          <w:shd w:val="clear" w:color="auto" w:fill="FFFFFF"/>
        </w:rPr>
        <w:t>　　　</w:t>
      </w:r>
    </w:p>
    <w:p>
      <w:pPr>
        <w:wordWrap w:val="0"/>
        <w:spacing w:line="560" w:lineRule="exact"/>
        <w:ind w:right="800" w:firstLine="592" w:firstLineChars="185"/>
        <w:jc w:val="center"/>
        <w:rPr>
          <w:rFonts w:eastAsia="方正仿宋简体"/>
          <w:sz w:val="32"/>
          <w:szCs w:val="32"/>
          <w:shd w:val="clear" w:color="auto" w:fill="FFFFFF"/>
        </w:rPr>
      </w:pPr>
      <w:r>
        <w:rPr>
          <w:rFonts w:eastAsia="方正仿宋简体"/>
          <w:sz w:val="32"/>
          <w:szCs w:val="32"/>
          <w:shd w:val="clear" w:color="auto" w:fill="FFFFFF"/>
        </w:rPr>
        <w:t xml:space="preserve">                          </w:t>
      </w:r>
      <w:r>
        <w:rPr>
          <w:rFonts w:hint="eastAsia" w:eastAsia="方正仿宋简体"/>
          <w:sz w:val="32"/>
          <w:szCs w:val="32"/>
          <w:shd w:val="clear" w:color="auto" w:fill="FFFFFF"/>
          <w:lang w:val="en-US" w:eastAsia="zh-CN"/>
        </w:rPr>
        <w:t xml:space="preserve">    </w:t>
      </w:r>
      <w:bookmarkStart w:id="0" w:name="_GoBack"/>
      <w:bookmarkEnd w:id="0"/>
      <w:r>
        <w:rPr>
          <w:rFonts w:eastAsia="方正仿宋简体"/>
          <w:sz w:val="32"/>
          <w:szCs w:val="32"/>
          <w:shd w:val="clear" w:color="auto" w:fill="FFFFFF"/>
        </w:rPr>
        <w:t>2021年</w:t>
      </w:r>
      <w:r>
        <w:rPr>
          <w:rFonts w:hint="eastAsia" w:eastAsia="方正仿宋简体"/>
          <w:sz w:val="32"/>
          <w:szCs w:val="32"/>
          <w:shd w:val="clear" w:color="auto" w:fill="FFFFFF"/>
          <w:lang w:val="en-US" w:eastAsia="zh-CN"/>
        </w:rPr>
        <w:t>9</w:t>
      </w:r>
      <w:r>
        <w:rPr>
          <w:rFonts w:eastAsia="方正仿宋简体"/>
          <w:sz w:val="32"/>
          <w:szCs w:val="32"/>
          <w:shd w:val="clear" w:color="auto" w:fill="FFFFFF"/>
        </w:rPr>
        <w:t>月</w:t>
      </w:r>
      <w:r>
        <w:rPr>
          <w:rFonts w:hint="eastAsia" w:eastAsia="方正仿宋简体"/>
          <w:sz w:val="32"/>
          <w:szCs w:val="32"/>
          <w:shd w:val="clear" w:color="auto" w:fill="FFFFFF"/>
          <w:lang w:val="en-US" w:eastAsia="zh-CN"/>
        </w:rPr>
        <w:t>28</w:t>
      </w:r>
      <w:r>
        <w:rPr>
          <w:rFonts w:eastAsia="方正仿宋简体"/>
          <w:sz w:val="32"/>
          <w:szCs w:val="32"/>
          <w:shd w:val="clear" w:color="auto" w:fill="FFFFFF"/>
        </w:rPr>
        <w:t>日　</w:t>
      </w:r>
    </w:p>
    <w:p>
      <w:pPr>
        <w:spacing w:line="560" w:lineRule="exact"/>
        <w:ind w:left="420" w:leftChars="200"/>
        <w:rPr>
          <w:rFonts w:eastAsia="方正仿宋简体"/>
          <w:sz w:val="32"/>
          <w:szCs w:val="32"/>
          <w:shd w:val="clear" w:color="auto" w:fill="FFFFFF"/>
        </w:rPr>
      </w:pPr>
      <w:r>
        <w:rPr>
          <w:rFonts w:eastAsia="方正仿宋简体"/>
          <w:sz w:val="32"/>
          <w:szCs w:val="32"/>
          <w:shd w:val="clear" w:color="auto" w:fill="FFFFFF"/>
        </w:rPr>
        <w:t>（此件主动公开）</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588" w:bottom="1440" w:left="1588"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8450155"/>
      <w:docPartObj>
        <w:docPartGallery w:val="AutoText"/>
      </w:docPartObj>
    </w:sdtPr>
    <w:sdtContent>
      <w:p>
        <w:pPr>
          <w:pStyle w:val="6"/>
          <w:jc w:val="center"/>
        </w:pPr>
        <w:r>
          <w:fldChar w:fldCharType="begin"/>
        </w:r>
        <w:r>
          <w:instrText xml:space="preserve"> PAGE   \* MERGEFORMAT </w:instrText>
        </w:r>
        <w:r>
          <w:fldChar w:fldCharType="separate"/>
        </w:r>
        <w:r>
          <w:rPr>
            <w:lang w:val="zh-CN"/>
          </w:rPr>
          <w:t>-</w:t>
        </w:r>
        <w:r>
          <w:t xml:space="preserve"> 3 -</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w:t>
    </w:r>
    <w:r>
      <w:t xml:space="preserve"> 4 -</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60173"/>
    <w:rsid w:val="00030365"/>
    <w:rsid w:val="000305E9"/>
    <w:rsid w:val="00042108"/>
    <w:rsid w:val="00053AF2"/>
    <w:rsid w:val="0007057F"/>
    <w:rsid w:val="0007395A"/>
    <w:rsid w:val="00082883"/>
    <w:rsid w:val="00086014"/>
    <w:rsid w:val="00086A4D"/>
    <w:rsid w:val="000923F0"/>
    <w:rsid w:val="000960B4"/>
    <w:rsid w:val="00097E17"/>
    <w:rsid w:val="000B7F5D"/>
    <w:rsid w:val="000D038C"/>
    <w:rsid w:val="000E21F6"/>
    <w:rsid w:val="000E5AB3"/>
    <w:rsid w:val="001106F0"/>
    <w:rsid w:val="00111F2C"/>
    <w:rsid w:val="00147DAD"/>
    <w:rsid w:val="0015133F"/>
    <w:rsid w:val="00160173"/>
    <w:rsid w:val="00177078"/>
    <w:rsid w:val="001936DA"/>
    <w:rsid w:val="00196710"/>
    <w:rsid w:val="001D44A8"/>
    <w:rsid w:val="001E196F"/>
    <w:rsid w:val="001E28D7"/>
    <w:rsid w:val="001E4752"/>
    <w:rsid w:val="00214529"/>
    <w:rsid w:val="0022166F"/>
    <w:rsid w:val="00223D0A"/>
    <w:rsid w:val="00240AAF"/>
    <w:rsid w:val="00240EEC"/>
    <w:rsid w:val="00253A94"/>
    <w:rsid w:val="00253E08"/>
    <w:rsid w:val="002575D4"/>
    <w:rsid w:val="00264C83"/>
    <w:rsid w:val="00281167"/>
    <w:rsid w:val="002B1B43"/>
    <w:rsid w:val="002B448D"/>
    <w:rsid w:val="0030300B"/>
    <w:rsid w:val="003118ED"/>
    <w:rsid w:val="0032288D"/>
    <w:rsid w:val="003247EE"/>
    <w:rsid w:val="00325255"/>
    <w:rsid w:val="00346C66"/>
    <w:rsid w:val="00352224"/>
    <w:rsid w:val="003670C0"/>
    <w:rsid w:val="00393CDC"/>
    <w:rsid w:val="003B42D4"/>
    <w:rsid w:val="003B6585"/>
    <w:rsid w:val="003C0675"/>
    <w:rsid w:val="003D04FD"/>
    <w:rsid w:val="003E2809"/>
    <w:rsid w:val="003F747C"/>
    <w:rsid w:val="0041075F"/>
    <w:rsid w:val="00423432"/>
    <w:rsid w:val="00430578"/>
    <w:rsid w:val="004462E7"/>
    <w:rsid w:val="00450262"/>
    <w:rsid w:val="004539BE"/>
    <w:rsid w:val="00461CF1"/>
    <w:rsid w:val="004638B8"/>
    <w:rsid w:val="004675AE"/>
    <w:rsid w:val="00470874"/>
    <w:rsid w:val="00486BD1"/>
    <w:rsid w:val="004B2A82"/>
    <w:rsid w:val="004E01D7"/>
    <w:rsid w:val="004E0259"/>
    <w:rsid w:val="00547AA4"/>
    <w:rsid w:val="00556FB7"/>
    <w:rsid w:val="005809AE"/>
    <w:rsid w:val="005A1611"/>
    <w:rsid w:val="005C57E4"/>
    <w:rsid w:val="005D0176"/>
    <w:rsid w:val="005D20AA"/>
    <w:rsid w:val="005D5708"/>
    <w:rsid w:val="005D7C51"/>
    <w:rsid w:val="005E58D7"/>
    <w:rsid w:val="005F5A3A"/>
    <w:rsid w:val="00605506"/>
    <w:rsid w:val="00611DF2"/>
    <w:rsid w:val="00615CA7"/>
    <w:rsid w:val="00623489"/>
    <w:rsid w:val="006255D4"/>
    <w:rsid w:val="00643963"/>
    <w:rsid w:val="00643ECC"/>
    <w:rsid w:val="00661C45"/>
    <w:rsid w:val="00662C0D"/>
    <w:rsid w:val="006639F4"/>
    <w:rsid w:val="00681B97"/>
    <w:rsid w:val="00683D74"/>
    <w:rsid w:val="00690A8D"/>
    <w:rsid w:val="006A67F8"/>
    <w:rsid w:val="006B649D"/>
    <w:rsid w:val="006C297C"/>
    <w:rsid w:val="006C6757"/>
    <w:rsid w:val="006D119E"/>
    <w:rsid w:val="006D3E15"/>
    <w:rsid w:val="006E1B05"/>
    <w:rsid w:val="006F171B"/>
    <w:rsid w:val="006F1846"/>
    <w:rsid w:val="00705358"/>
    <w:rsid w:val="00706195"/>
    <w:rsid w:val="00723257"/>
    <w:rsid w:val="00727C92"/>
    <w:rsid w:val="0076443F"/>
    <w:rsid w:val="00770DEC"/>
    <w:rsid w:val="00771E1B"/>
    <w:rsid w:val="007838CA"/>
    <w:rsid w:val="007C0EF3"/>
    <w:rsid w:val="007C6C96"/>
    <w:rsid w:val="007D2F44"/>
    <w:rsid w:val="007D7AB0"/>
    <w:rsid w:val="00800E64"/>
    <w:rsid w:val="00805748"/>
    <w:rsid w:val="00825F5D"/>
    <w:rsid w:val="008772AC"/>
    <w:rsid w:val="0089606B"/>
    <w:rsid w:val="008C1681"/>
    <w:rsid w:val="008D799D"/>
    <w:rsid w:val="008E3776"/>
    <w:rsid w:val="008E3907"/>
    <w:rsid w:val="008F2AEE"/>
    <w:rsid w:val="00901C09"/>
    <w:rsid w:val="00901CCD"/>
    <w:rsid w:val="0090261D"/>
    <w:rsid w:val="00924D70"/>
    <w:rsid w:val="00935B1E"/>
    <w:rsid w:val="009444DB"/>
    <w:rsid w:val="009455E9"/>
    <w:rsid w:val="009521D4"/>
    <w:rsid w:val="00952801"/>
    <w:rsid w:val="00961094"/>
    <w:rsid w:val="00981DBE"/>
    <w:rsid w:val="009861F0"/>
    <w:rsid w:val="009A6BE1"/>
    <w:rsid w:val="009C6D91"/>
    <w:rsid w:val="009D3D22"/>
    <w:rsid w:val="00A0014A"/>
    <w:rsid w:val="00A02BD3"/>
    <w:rsid w:val="00A20853"/>
    <w:rsid w:val="00A36C7C"/>
    <w:rsid w:val="00A5372D"/>
    <w:rsid w:val="00A61693"/>
    <w:rsid w:val="00A64D33"/>
    <w:rsid w:val="00A91A4C"/>
    <w:rsid w:val="00AA0863"/>
    <w:rsid w:val="00AA4124"/>
    <w:rsid w:val="00AD69F8"/>
    <w:rsid w:val="00AF314F"/>
    <w:rsid w:val="00B121E4"/>
    <w:rsid w:val="00B13DBD"/>
    <w:rsid w:val="00B23D67"/>
    <w:rsid w:val="00B3461B"/>
    <w:rsid w:val="00B41471"/>
    <w:rsid w:val="00B47D9D"/>
    <w:rsid w:val="00B51500"/>
    <w:rsid w:val="00B52B31"/>
    <w:rsid w:val="00B738A8"/>
    <w:rsid w:val="00B84DB7"/>
    <w:rsid w:val="00BA2FA3"/>
    <w:rsid w:val="00BB53D4"/>
    <w:rsid w:val="00BC631F"/>
    <w:rsid w:val="00BE5207"/>
    <w:rsid w:val="00BF0CBD"/>
    <w:rsid w:val="00C22E20"/>
    <w:rsid w:val="00C4206D"/>
    <w:rsid w:val="00C54D58"/>
    <w:rsid w:val="00C72F0A"/>
    <w:rsid w:val="00C80CAF"/>
    <w:rsid w:val="00C86A3C"/>
    <w:rsid w:val="00CA5F1F"/>
    <w:rsid w:val="00CC1C9E"/>
    <w:rsid w:val="00CC5297"/>
    <w:rsid w:val="00CE3EEA"/>
    <w:rsid w:val="00CE554F"/>
    <w:rsid w:val="00CF0A39"/>
    <w:rsid w:val="00CF193B"/>
    <w:rsid w:val="00CF4A89"/>
    <w:rsid w:val="00D12705"/>
    <w:rsid w:val="00D20F1D"/>
    <w:rsid w:val="00D2117C"/>
    <w:rsid w:val="00D47F11"/>
    <w:rsid w:val="00D60BC4"/>
    <w:rsid w:val="00D92B1D"/>
    <w:rsid w:val="00DB41D9"/>
    <w:rsid w:val="00DB4DF7"/>
    <w:rsid w:val="00DB5813"/>
    <w:rsid w:val="00DC2C10"/>
    <w:rsid w:val="00DC6693"/>
    <w:rsid w:val="00DD0F9C"/>
    <w:rsid w:val="00DE1A6F"/>
    <w:rsid w:val="00DE312E"/>
    <w:rsid w:val="00DF6FD3"/>
    <w:rsid w:val="00E01627"/>
    <w:rsid w:val="00E4394A"/>
    <w:rsid w:val="00E46486"/>
    <w:rsid w:val="00E53861"/>
    <w:rsid w:val="00E54E4E"/>
    <w:rsid w:val="00E65F93"/>
    <w:rsid w:val="00EA015E"/>
    <w:rsid w:val="00EA2D6C"/>
    <w:rsid w:val="00EB53AA"/>
    <w:rsid w:val="00EB5479"/>
    <w:rsid w:val="00EC1AD9"/>
    <w:rsid w:val="00EC6478"/>
    <w:rsid w:val="00ED32E5"/>
    <w:rsid w:val="00EE5192"/>
    <w:rsid w:val="00EF666B"/>
    <w:rsid w:val="00F14689"/>
    <w:rsid w:val="00F17C81"/>
    <w:rsid w:val="00F25E42"/>
    <w:rsid w:val="00F26AE5"/>
    <w:rsid w:val="00F3536E"/>
    <w:rsid w:val="00F3669C"/>
    <w:rsid w:val="00F57456"/>
    <w:rsid w:val="00F62063"/>
    <w:rsid w:val="00F63DC9"/>
    <w:rsid w:val="00F65644"/>
    <w:rsid w:val="00F8008F"/>
    <w:rsid w:val="00F8245E"/>
    <w:rsid w:val="00F8370F"/>
    <w:rsid w:val="00FA6292"/>
    <w:rsid w:val="00FA7BD2"/>
    <w:rsid w:val="00FB23E9"/>
    <w:rsid w:val="00FC1C97"/>
    <w:rsid w:val="00FE501E"/>
    <w:rsid w:val="00FF2C64"/>
    <w:rsid w:val="00FF3938"/>
    <w:rsid w:val="06AF13C8"/>
    <w:rsid w:val="0813297A"/>
    <w:rsid w:val="091F2A6D"/>
    <w:rsid w:val="17282400"/>
    <w:rsid w:val="18723062"/>
    <w:rsid w:val="202C35EC"/>
    <w:rsid w:val="3BC75312"/>
    <w:rsid w:val="3F580174"/>
    <w:rsid w:val="445B7498"/>
    <w:rsid w:val="4AE27B8D"/>
    <w:rsid w:val="5ADE22ED"/>
    <w:rsid w:val="5C9936E1"/>
    <w:rsid w:val="5D0A570D"/>
    <w:rsid w:val="67AC053F"/>
    <w:rsid w:val="67D360BC"/>
    <w:rsid w:val="6A3F26BB"/>
    <w:rsid w:val="7E5A3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link w:val="16"/>
    <w:qFormat/>
    <w:uiPriority w:val="9"/>
    <w:pPr>
      <w:widowControl/>
      <w:spacing w:before="100" w:beforeAutospacing="1" w:after="100" w:afterAutospacing="1"/>
      <w:jc w:val="left"/>
      <w:outlineLvl w:val="3"/>
    </w:pPr>
    <w:rPr>
      <w:rFonts w:ascii="宋体" w:hAnsi="宋体" w:cs="宋体"/>
      <w:b/>
      <w:bCs/>
      <w:kern w:val="0"/>
      <w:sz w:val="24"/>
    </w:rPr>
  </w:style>
  <w:style w:type="paragraph" w:styleId="3">
    <w:name w:val="heading 5"/>
    <w:basedOn w:val="1"/>
    <w:next w:val="1"/>
    <w:link w:val="18"/>
    <w:semiHidden/>
    <w:unhideWhenUsed/>
    <w:qFormat/>
    <w:uiPriority w:val="0"/>
    <w:pPr>
      <w:keepNext/>
      <w:keepLines/>
      <w:spacing w:before="280" w:after="290" w:line="376" w:lineRule="auto"/>
      <w:outlineLvl w:val="4"/>
    </w:pPr>
    <w:rPr>
      <w:b/>
      <w:bCs/>
      <w:sz w:val="28"/>
      <w:szCs w:val="2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9"/>
    <w:uiPriority w:val="0"/>
    <w:pPr>
      <w:ind w:left="100" w:leftChars="2500"/>
    </w:pPr>
  </w:style>
  <w:style w:type="paragraph" w:styleId="5">
    <w:name w:val="Balloon Text"/>
    <w:basedOn w:val="1"/>
    <w:semiHidden/>
    <w:uiPriority w:val="0"/>
    <w:rPr>
      <w:sz w:val="18"/>
      <w:szCs w:val="18"/>
    </w:rPr>
  </w:style>
  <w:style w:type="paragraph" w:styleId="6">
    <w:name w:val="footer"/>
    <w:basedOn w:val="1"/>
    <w:link w:val="14"/>
    <w:uiPriority w:val="99"/>
    <w:pPr>
      <w:tabs>
        <w:tab w:val="center" w:pos="4153"/>
        <w:tab w:val="right" w:pos="8306"/>
      </w:tabs>
      <w:snapToGrid w:val="0"/>
      <w:jc w:val="left"/>
    </w:pPr>
    <w:rPr>
      <w:sz w:val="18"/>
      <w:szCs w:val="18"/>
    </w:rPr>
  </w:style>
  <w:style w:type="paragraph" w:styleId="7">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10">
    <w:name w:val="Table Grid"/>
    <w:basedOn w:val="9"/>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character" w:customStyle="1" w:styleId="13">
    <w:name w:val="页眉 Char"/>
    <w:basedOn w:val="11"/>
    <w:link w:val="7"/>
    <w:uiPriority w:val="0"/>
    <w:rPr>
      <w:kern w:val="2"/>
      <w:sz w:val="18"/>
      <w:szCs w:val="18"/>
    </w:rPr>
  </w:style>
  <w:style w:type="character" w:customStyle="1" w:styleId="14">
    <w:name w:val="页脚 Char"/>
    <w:basedOn w:val="11"/>
    <w:link w:val="6"/>
    <w:uiPriority w:val="99"/>
    <w:rPr>
      <w:kern w:val="2"/>
      <w:sz w:val="18"/>
      <w:szCs w:val="18"/>
    </w:rPr>
  </w:style>
  <w:style w:type="paragraph" w:customStyle="1" w:styleId="15">
    <w:name w:val="0"/>
    <w:basedOn w:val="1"/>
    <w:uiPriority w:val="0"/>
    <w:pPr>
      <w:widowControl/>
      <w:snapToGrid w:val="0"/>
    </w:pPr>
    <w:rPr>
      <w:rFonts w:ascii="Calibri" w:hAnsi="Calibri" w:cs="黑体"/>
      <w:kern w:val="0"/>
      <w:sz w:val="20"/>
      <w:szCs w:val="20"/>
    </w:rPr>
  </w:style>
  <w:style w:type="character" w:customStyle="1" w:styleId="16">
    <w:name w:val="标题 4 Char"/>
    <w:basedOn w:val="11"/>
    <w:link w:val="2"/>
    <w:uiPriority w:val="9"/>
    <w:rPr>
      <w:rFonts w:ascii="宋体" w:hAnsi="宋体" w:cs="宋体"/>
      <w:b/>
      <w:bCs/>
      <w:sz w:val="24"/>
      <w:szCs w:val="24"/>
    </w:rPr>
  </w:style>
  <w:style w:type="character" w:customStyle="1" w:styleId="17">
    <w:name w:val="apple-converted-space"/>
    <w:basedOn w:val="11"/>
    <w:uiPriority w:val="0"/>
  </w:style>
  <w:style w:type="character" w:customStyle="1" w:styleId="18">
    <w:name w:val="标题 5 Char"/>
    <w:basedOn w:val="11"/>
    <w:link w:val="3"/>
    <w:semiHidden/>
    <w:uiPriority w:val="0"/>
    <w:rPr>
      <w:b/>
      <w:bCs/>
      <w:kern w:val="2"/>
      <w:sz w:val="28"/>
      <w:szCs w:val="28"/>
    </w:rPr>
  </w:style>
  <w:style w:type="character" w:customStyle="1" w:styleId="19">
    <w:name w:val="日期 Char"/>
    <w:basedOn w:val="11"/>
    <w:link w:val="4"/>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307</Words>
  <Characters>1752</Characters>
  <Lines>14</Lines>
  <Paragraphs>4</Paragraphs>
  <TotalTime>56</TotalTime>
  <ScaleCrop>false</ScaleCrop>
  <LinksUpToDate>false</LinksUpToDate>
  <CharactersWithSpaces>2055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2021-08-30T00:47:00Z</dcterms:created>
  <dc:creator>User</dc:creator>
  <cp:lastModifiedBy>Cherie</cp:lastModifiedBy>
  <cp:lastPrinted>2020-09-07T07:38:00Z</cp:lastPrinted>
  <dcterms:modified xsi:type="dcterms:W3CDTF">2021-10-11T08:32:15Z</dcterms:modified>
  <dc:title>关于海上丝绸之路申遗泉州史迹环境整治工程--九日山祈风石刻项目建设资金建议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D70FBB88F10D4073B82DE799717359ED</vt:lpwstr>
  </property>
</Properties>
</file>