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4F" w:rsidRDefault="0010534F">
      <w:pPr>
        <w:widowControl/>
        <w:spacing w:line="28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</w:t>
      </w:r>
      <w:r>
        <w:rPr>
          <w:rFonts w:ascii="黑体" w:eastAsia="黑体" w:hAnsi="黑体" w:cs="黑体"/>
          <w:spacing w:val="-6"/>
          <w:sz w:val="32"/>
          <w:szCs w:val="32"/>
        </w:rPr>
        <w:t>2</w:t>
      </w:r>
    </w:p>
    <w:p w:rsidR="0010534F" w:rsidRDefault="0010534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南安市市属四大国有集团公司简介</w:t>
      </w:r>
    </w:p>
    <w:p w:rsidR="0010534F" w:rsidRDefault="0010534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0534F" w:rsidRDefault="0010534F">
      <w:pPr>
        <w:pStyle w:val="NormalWeb"/>
        <w:spacing w:before="0" w:beforeAutospacing="0" w:after="0" w:afterAutospacing="0" w:line="560" w:lineRule="exact"/>
        <w:ind w:firstLine="63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" w:hint="eastAsia"/>
          <w:kern w:val="2"/>
          <w:sz w:val="32"/>
          <w:szCs w:val="32"/>
        </w:rPr>
        <w:t>南安市能源工贸投资发展集团有限公司</w:t>
      </w:r>
      <w:r>
        <w:rPr>
          <w:rFonts w:ascii="黑体" w:eastAsia="黑体" w:hAnsi="黑体" w:cs="仿宋"/>
          <w:kern w:val="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一家集自来水生产及供应、电力生产、进出口贸易、金融担保服务、医药产品生产和销售、安保服务、港口经营、城市智慧公共交通、汽车租赁、公务出行服务、房地产开发经营等业务为一体的大型产业集团。下属</w:t>
      </w:r>
      <w:r>
        <w:rPr>
          <w:rFonts w:ascii="仿宋_GB2312" w:eastAsia="仿宋_GB2312" w:hAnsi="仿宋_GB2312" w:cs="仿宋_GB2312" w:hint="eastAsia"/>
          <w:sz w:val="32"/>
          <w:szCs w:val="32"/>
        </w:rPr>
        <w:t>全资子公司</w:t>
      </w:r>
      <w:r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家，对外投资参股企业</w:t>
      </w:r>
      <w:r>
        <w:rPr>
          <w:rFonts w:ascii="仿宋_GB2312" w:eastAsia="仿宋_GB2312" w:hAnsi="仿宋_GB2312" w:cs="仿宋_GB2312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家，在册员工数</w:t>
      </w:r>
      <w:r>
        <w:rPr>
          <w:rFonts w:ascii="仿宋_GB2312" w:eastAsia="仿宋_GB2312" w:hAnsi="仿宋_GB2312" w:cs="仿宋_GB2312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余人，业务板块涵盖项目建设板块、能源产业板块、民生服务板块、金融贸易板块和生产经营板块、农业板块等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大板块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总资产达</w:t>
      </w:r>
      <w:r>
        <w:rPr>
          <w:rFonts w:ascii="仿宋_GB2312" w:eastAsia="仿宋_GB2312" w:hAnsi="仿宋_GB2312" w:cs="仿宋_GB2312"/>
          <w:sz w:val="32"/>
          <w:szCs w:val="32"/>
        </w:rPr>
        <w:t>245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年实现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利润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亿元。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集团市场主体信用评级</w:t>
      </w:r>
      <w:r>
        <w:rPr>
          <w:rFonts w:ascii="仿宋_GB2312" w:eastAsia="仿宋_GB2312" w:hAnsi="仿宋_GB2312" w:cs="仿宋_GB2312"/>
          <w:sz w:val="32"/>
          <w:szCs w:val="32"/>
        </w:rPr>
        <w:t>AA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10534F" w:rsidRDefault="0010534F">
      <w:pPr>
        <w:rPr>
          <w:rFonts w:ascii="仿宋_GB2312" w:eastAsia="仿宋_GB2312" w:hAnsi="仿宋_GB2312" w:cs="仿宋_GB2312"/>
          <w:sz w:val="32"/>
          <w:szCs w:val="32"/>
        </w:rPr>
      </w:pPr>
    </w:p>
    <w:p w:rsidR="0010534F" w:rsidRDefault="0010534F">
      <w:pPr>
        <w:pStyle w:val="NormalWeb"/>
        <w:shd w:val="clear" w:color="auto" w:fill="FFFFFF"/>
        <w:spacing w:before="0" w:beforeAutospacing="0" w:after="0" w:afterAutospacing="0"/>
        <w:ind w:firstLineChars="200" w:firstLine="672"/>
        <w:jc w:val="both"/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pacing w:val="8"/>
          <w:sz w:val="32"/>
          <w:szCs w:val="32"/>
        </w:rPr>
        <w:t>泉州市南翼置业发展集团有限责任公司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集团致力于高品质城乡开发建设与运营服务发展方向，</w:t>
      </w:r>
      <w:r>
        <w:rPr>
          <w:rFonts w:ascii="Times New Roman" w:eastAsia="仿宋_GB2312" w:hAnsi="Times New Roman" w:hint="eastAsia"/>
          <w:sz w:val="32"/>
          <w:szCs w:val="32"/>
        </w:rPr>
        <w:t>重点为：城市基础设施代建、房地产开发、教育产业投资经营、文旅项目开发经营、供应链金融、医疗康养产业投资运营、物业管理、施工业务等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。集团现下辖全资子公司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家，控股子公司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家，参股子公司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家，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年总资产</w:t>
      </w:r>
      <w:r>
        <w:rPr>
          <w:rFonts w:ascii="Times New Roman" w:eastAsia="仿宋_GB2312" w:hAnsi="Times New Roman" w:cs="Times New Roman"/>
          <w:color w:val="000000"/>
          <w:spacing w:val="8"/>
          <w:sz w:val="32"/>
          <w:szCs w:val="32"/>
        </w:rPr>
        <w:t>231</w:t>
      </w:r>
      <w:r>
        <w:rPr>
          <w:rFonts w:ascii="Times New Roman" w:eastAsia="仿宋_GB2312" w:hAnsi="Times New Roman" w:cs="Times New Roman" w:hint="eastAsia"/>
          <w:color w:val="000000"/>
          <w:spacing w:val="8"/>
          <w:sz w:val="32"/>
          <w:szCs w:val="32"/>
        </w:rPr>
        <w:t>亿元。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月，由集团牵头推动、整合南安市芯谷等国企重组成立泉州市南翼投资集团有限公司，获评市场主体信用等级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AA+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。</w:t>
      </w:r>
    </w:p>
    <w:p w:rsidR="0010534F" w:rsidRDefault="0010534F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10534F" w:rsidRDefault="0010534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南安市园区开发建设集团有限责任公司</w:t>
      </w:r>
      <w:r>
        <w:rPr>
          <w:rFonts w:ascii="黑体" w:eastAsia="黑体" w:hAnsi="黑体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集团作为全市核心产业园区开发建设运营的市场主体，主要负责南安经济开发区（省级开发区）范围内基础设施、公共服务配套设施开发建设、物业经营管理和投资经营，积极打造宜居、宜业、宜商的工业园区投资环境和生产生活环境。集团现有权属企业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家，混改投资企业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家（含产业基金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家），涉及中介市场服务、商业楼宇、高端装备智造、再生资源利用、信息产业、仓储物流、医疗器械等多个行业。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年总资产</w:t>
      </w:r>
      <w:r>
        <w:rPr>
          <w:rFonts w:ascii="仿宋_GB2312" w:eastAsia="仿宋_GB2312" w:hAnsi="仿宋_GB2312" w:cs="仿宋_GB2312"/>
          <w:sz w:val="32"/>
          <w:szCs w:val="32"/>
        </w:rPr>
        <w:t>97.75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亿元，营业收入</w:t>
      </w:r>
      <w:r>
        <w:rPr>
          <w:rFonts w:ascii="仿宋_GB2312" w:eastAsia="仿宋_GB2312" w:hAnsi="仿宋_GB2312" w:cs="仿宋_GB2312"/>
          <w:sz w:val="32"/>
          <w:szCs w:val="32"/>
        </w:rPr>
        <w:t>6.5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亿元。集团市场主体信用等级</w:t>
      </w:r>
      <w:r>
        <w:rPr>
          <w:rFonts w:ascii="仿宋_GB2312" w:eastAsia="仿宋_GB2312" w:hAnsi="仿宋_GB2312" w:cs="仿宋_GB2312"/>
          <w:sz w:val="32"/>
          <w:szCs w:val="32"/>
        </w:rPr>
        <w:t>AA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10534F" w:rsidRDefault="0010534F">
      <w:pPr>
        <w:pStyle w:val="BodyTextFirstIndent2"/>
        <w:ind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仿宋_GB2312" w:hint="eastAsia"/>
          <w:color w:val="auto"/>
          <w:sz w:val="32"/>
          <w:szCs w:val="32"/>
        </w:rPr>
        <w:t>福建省南安市文体旅发展集团有限公司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集团成立于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月，系国有独资企业。集团定位“文体旅产业融合综合服务运营商”，主要开展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文体旅项目建设、开发、保护、运营，包括对外投资、控股、参股文体旅项目，联动管理公共文体旅实体单位。</w:t>
      </w:r>
    </w:p>
    <w:sectPr w:rsidR="0010534F" w:rsidSect="00915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4F" w:rsidRDefault="0010534F">
      <w:r>
        <w:separator/>
      </w:r>
    </w:p>
  </w:endnote>
  <w:endnote w:type="continuationSeparator" w:id="0">
    <w:p w:rsidR="0010534F" w:rsidRDefault="00105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Dotum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4F" w:rsidRDefault="0010534F">
      <w:r>
        <w:separator/>
      </w:r>
    </w:p>
  </w:footnote>
  <w:footnote w:type="continuationSeparator" w:id="0">
    <w:p w:rsidR="0010534F" w:rsidRDefault="00105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 w:rsidP="004545F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4F" w:rsidRDefault="001053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A0ZjQyMzQ1NTM4OTUxN2NmMWFjMWQ4NGI4YTVjZDAifQ=="/>
  </w:docVars>
  <w:rsids>
    <w:rsidRoot w:val="00674902"/>
    <w:rsid w:val="0010534F"/>
    <w:rsid w:val="004545F3"/>
    <w:rsid w:val="004741B4"/>
    <w:rsid w:val="00490EEC"/>
    <w:rsid w:val="00581B00"/>
    <w:rsid w:val="00586CA2"/>
    <w:rsid w:val="00674902"/>
    <w:rsid w:val="007B3B60"/>
    <w:rsid w:val="007E4887"/>
    <w:rsid w:val="0082283C"/>
    <w:rsid w:val="008F7D01"/>
    <w:rsid w:val="00915490"/>
    <w:rsid w:val="009A1AE7"/>
    <w:rsid w:val="00AC47B0"/>
    <w:rsid w:val="00B14BBE"/>
    <w:rsid w:val="00D04E99"/>
    <w:rsid w:val="00F51EE9"/>
    <w:rsid w:val="05BC6329"/>
    <w:rsid w:val="0BD97ACE"/>
    <w:rsid w:val="0CE85E67"/>
    <w:rsid w:val="488C48F2"/>
    <w:rsid w:val="564B654C"/>
    <w:rsid w:val="5B21538B"/>
    <w:rsid w:val="608D065F"/>
    <w:rsid w:val="7567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154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915490"/>
    <w:pPr>
      <w:ind w:firstLineChars="200" w:firstLine="420"/>
    </w:pPr>
  </w:style>
  <w:style w:type="paragraph" w:styleId="BodyTextIndent">
    <w:name w:val="Body Text Indent"/>
    <w:basedOn w:val="Normal"/>
    <w:next w:val="Normal"/>
    <w:link w:val="BodyTextIndentChar"/>
    <w:uiPriority w:val="99"/>
    <w:rsid w:val="00915490"/>
    <w:pPr>
      <w:widowControl/>
      <w:spacing w:before="100" w:beforeAutospacing="1" w:after="100" w:afterAutospacing="1" w:line="360" w:lineRule="auto"/>
      <w:ind w:firstLineChars="200" w:firstLine="560"/>
      <w:jc w:val="left"/>
    </w:pPr>
    <w:rPr>
      <w:rFonts w:ascii="华文仿宋" w:eastAsia="华文仿宋" w:hAnsi="??"/>
      <w:color w:val="000069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7004"/>
  </w:style>
  <w:style w:type="paragraph" w:styleId="Footer">
    <w:name w:val="footer"/>
    <w:basedOn w:val="Normal"/>
    <w:link w:val="FooterChar"/>
    <w:uiPriority w:val="99"/>
    <w:semiHidden/>
    <w:rsid w:val="0091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5490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1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490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154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15490"/>
    <w:pPr>
      <w:tabs>
        <w:tab w:val="left" w:pos="4606"/>
      </w:tabs>
      <w:ind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47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123</Words>
  <Characters>706</Characters>
  <Application>Microsoft Office Outlook</Application>
  <DocSecurity>0</DocSecurity>
  <Lines>0</Lines>
  <Paragraphs>0</Paragraphs>
  <ScaleCrop>false</ScaleCrop>
  <Company>jinhu.me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dcterms:created xsi:type="dcterms:W3CDTF">2022-11-03T02:36:00Z</dcterms:created>
  <dcterms:modified xsi:type="dcterms:W3CDTF">2022-11-25T07:17:00Z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CFE17229E6CD48A09C12F4D5A209673D</vt:lpwstr>
  </property>
</Properties>
</file>